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F5" w:rsidRPr="006B57F5" w:rsidRDefault="006B57F5" w:rsidP="006B57F5">
      <w:pPr>
        <w:rPr>
          <w:rFonts w:ascii="Arial" w:hAnsi="Arial" w:cs="Arial"/>
          <w:sz w:val="24"/>
          <w:szCs w:val="24"/>
        </w:rPr>
      </w:pPr>
      <w:r w:rsidRPr="006B57F5">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3810000</wp:posOffset>
            </wp:positionH>
            <wp:positionV relativeFrom="margin">
              <wp:posOffset>-590550</wp:posOffset>
            </wp:positionV>
            <wp:extent cx="2657475" cy="962025"/>
            <wp:effectExtent l="19050" t="0" r="9525" b="0"/>
            <wp:wrapSquare wrapText="bothSides"/>
            <wp:docPr id="1" name="Picture 0" descr="E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LOGO 2.jpg"/>
                    <pic:cNvPicPr/>
                  </pic:nvPicPr>
                  <pic:blipFill>
                    <a:blip r:embed="rId8" cstate="print"/>
                    <a:stretch>
                      <a:fillRect/>
                    </a:stretch>
                  </pic:blipFill>
                  <pic:spPr>
                    <a:xfrm>
                      <a:off x="0" y="0"/>
                      <a:ext cx="2657475" cy="962025"/>
                    </a:xfrm>
                    <a:prstGeom prst="rect">
                      <a:avLst/>
                    </a:prstGeom>
                  </pic:spPr>
                </pic:pic>
              </a:graphicData>
            </a:graphic>
          </wp:anchor>
        </w:drawing>
      </w:r>
    </w:p>
    <w:p w:rsidR="00C47142" w:rsidRDefault="006B57F5" w:rsidP="008A7B1F">
      <w:pPr>
        <w:rPr>
          <w:rFonts w:ascii="Arial" w:hAnsi="Arial" w:cs="Arial"/>
          <w:sz w:val="24"/>
          <w:szCs w:val="24"/>
        </w:rPr>
      </w:pPr>
      <w:r w:rsidRPr="006B57F5">
        <w:rPr>
          <w:rFonts w:ascii="Arial" w:hAnsi="Arial" w:cs="Arial"/>
          <w:sz w:val="24"/>
          <w:szCs w:val="24"/>
        </w:rPr>
        <w:t xml:space="preserve"> </w:t>
      </w:r>
    </w:p>
    <w:p w:rsidR="00C47142" w:rsidRDefault="00C47142" w:rsidP="008A7B1F">
      <w:pPr>
        <w:rPr>
          <w:rFonts w:ascii="Arial" w:hAnsi="Arial" w:cs="Arial"/>
          <w:sz w:val="24"/>
          <w:szCs w:val="24"/>
        </w:rPr>
      </w:pPr>
    </w:p>
    <w:p w:rsidR="008A7B1F" w:rsidRPr="006B57F5" w:rsidRDefault="008A7B1F" w:rsidP="008A7B1F">
      <w:pPr>
        <w:rPr>
          <w:rFonts w:ascii="Arial" w:hAnsi="Arial" w:cs="Arial"/>
          <w:sz w:val="24"/>
          <w:szCs w:val="24"/>
        </w:rPr>
      </w:pPr>
      <w:r w:rsidRPr="006B57F5">
        <w:rPr>
          <w:rFonts w:ascii="Arial" w:hAnsi="Arial" w:cs="Arial"/>
          <w:sz w:val="24"/>
          <w:szCs w:val="24"/>
        </w:rPr>
        <w:t>The Equality Coalition is a broad alliance of non-governmental organisations whose members cover all the categories listed in section 75 of the Northern Ireland Act 1998), as well as other equality strands. It was founded in 1996 and was instrumental in putting equality at the forefront of the agenda at that time, specifically in relation to the Belfast/Good Friday Agreement and ultimately the public sector duty in s</w:t>
      </w:r>
      <w:r>
        <w:rPr>
          <w:rFonts w:ascii="Arial" w:hAnsi="Arial" w:cs="Arial"/>
          <w:sz w:val="24"/>
          <w:szCs w:val="24"/>
        </w:rPr>
        <w:t xml:space="preserve">ection </w:t>
      </w:r>
      <w:r w:rsidRPr="006B57F5">
        <w:rPr>
          <w:rFonts w:ascii="Arial" w:hAnsi="Arial" w:cs="Arial"/>
          <w:sz w:val="24"/>
          <w:szCs w:val="24"/>
        </w:rPr>
        <w:t xml:space="preserve">75. </w:t>
      </w:r>
    </w:p>
    <w:p w:rsidR="00751B75" w:rsidRDefault="008A7B1F" w:rsidP="00C47142">
      <w:pPr>
        <w:rPr>
          <w:rFonts w:ascii="Arial" w:hAnsi="Arial" w:cs="Arial"/>
          <w:b/>
          <w:sz w:val="24"/>
          <w:szCs w:val="24"/>
        </w:rPr>
      </w:pPr>
      <w:r w:rsidRPr="006B57F5">
        <w:rPr>
          <w:rFonts w:ascii="Arial" w:hAnsi="Arial" w:cs="Arial"/>
          <w:sz w:val="24"/>
          <w:szCs w:val="24"/>
        </w:rPr>
        <w:t>The Equality Coalition now has over 80 members</w:t>
      </w:r>
      <w:r w:rsidR="00A47F24">
        <w:rPr>
          <w:rFonts w:ascii="Arial" w:hAnsi="Arial" w:cs="Arial"/>
          <w:sz w:val="24"/>
          <w:szCs w:val="24"/>
        </w:rPr>
        <w:t xml:space="preserve"> (listed in the appendix)</w:t>
      </w:r>
      <w:r w:rsidRPr="006B57F5">
        <w:rPr>
          <w:rFonts w:ascii="Arial" w:hAnsi="Arial" w:cs="Arial"/>
          <w:sz w:val="24"/>
          <w:szCs w:val="24"/>
        </w:rPr>
        <w:t xml:space="preserve">, many of which are umbrella organisations. It is co-convened by the Committee on the Administration of Justice </w:t>
      </w:r>
      <w:r w:rsidR="00A672F0">
        <w:rPr>
          <w:rFonts w:ascii="Arial" w:hAnsi="Arial" w:cs="Arial"/>
          <w:sz w:val="24"/>
          <w:szCs w:val="24"/>
        </w:rPr>
        <w:t xml:space="preserve">(CAJ) </w:t>
      </w:r>
      <w:r w:rsidRPr="006B57F5">
        <w:rPr>
          <w:rFonts w:ascii="Arial" w:hAnsi="Arial" w:cs="Arial"/>
          <w:sz w:val="24"/>
          <w:szCs w:val="24"/>
        </w:rPr>
        <w:t xml:space="preserve">and UNISON. The Equality Coalition continues to provide a forum for unity between all sectors when working for equality, through recognising multiple identities, mutual support between members and respect for the diversity of its members’ work and views. </w:t>
      </w:r>
    </w:p>
    <w:p w:rsidR="00751B75" w:rsidRDefault="00751B75" w:rsidP="006B57F5">
      <w:pPr>
        <w:rPr>
          <w:rFonts w:ascii="Arial" w:hAnsi="Arial" w:cs="Arial"/>
          <w:b/>
          <w:sz w:val="24"/>
          <w:szCs w:val="24"/>
        </w:rPr>
      </w:pPr>
    </w:p>
    <w:p w:rsidR="006B57F5" w:rsidRPr="00A47F24" w:rsidRDefault="006B57F5" w:rsidP="006B57F5">
      <w:pPr>
        <w:rPr>
          <w:rFonts w:ascii="Arial" w:hAnsi="Arial" w:cs="Arial"/>
          <w:b/>
          <w:sz w:val="24"/>
          <w:szCs w:val="24"/>
        </w:rPr>
      </w:pPr>
      <w:r w:rsidRPr="00A47F24">
        <w:rPr>
          <w:rFonts w:ascii="Arial" w:hAnsi="Arial" w:cs="Arial"/>
          <w:b/>
          <w:sz w:val="24"/>
          <w:szCs w:val="24"/>
        </w:rPr>
        <w:t xml:space="preserve">Understanding the Scope and Application of s75 </w:t>
      </w:r>
    </w:p>
    <w:p w:rsidR="00237092" w:rsidRDefault="006B57F5" w:rsidP="006B57F5">
      <w:pPr>
        <w:rPr>
          <w:rFonts w:ascii="Arial" w:hAnsi="Arial" w:cs="Arial"/>
          <w:sz w:val="24"/>
          <w:szCs w:val="24"/>
        </w:rPr>
      </w:pPr>
      <w:r w:rsidRPr="006B57F5">
        <w:rPr>
          <w:rFonts w:ascii="Arial" w:hAnsi="Arial" w:cs="Arial"/>
          <w:sz w:val="24"/>
          <w:szCs w:val="24"/>
        </w:rPr>
        <w:t>Given the enduri</w:t>
      </w:r>
      <w:r>
        <w:rPr>
          <w:rFonts w:ascii="Arial" w:hAnsi="Arial" w:cs="Arial"/>
          <w:sz w:val="24"/>
          <w:szCs w:val="24"/>
        </w:rPr>
        <w:t>ng inequalities in our society</w:t>
      </w:r>
      <w:r>
        <w:rPr>
          <w:rStyle w:val="FootnoteReference"/>
          <w:rFonts w:ascii="Arial" w:hAnsi="Arial" w:cs="Arial"/>
          <w:sz w:val="24"/>
          <w:szCs w:val="24"/>
        </w:rPr>
        <w:footnoteReference w:id="1"/>
      </w:r>
      <w:r>
        <w:rPr>
          <w:rFonts w:ascii="Arial" w:hAnsi="Arial" w:cs="Arial"/>
          <w:sz w:val="24"/>
          <w:szCs w:val="24"/>
        </w:rPr>
        <w:t>,</w:t>
      </w:r>
      <w:r w:rsidRPr="006B57F5">
        <w:rPr>
          <w:rFonts w:ascii="Arial" w:hAnsi="Arial" w:cs="Arial"/>
          <w:sz w:val="24"/>
          <w:szCs w:val="24"/>
        </w:rPr>
        <w:t xml:space="preserve"> s</w:t>
      </w:r>
      <w:r w:rsidR="00D95279">
        <w:rPr>
          <w:rFonts w:ascii="Arial" w:hAnsi="Arial" w:cs="Arial"/>
          <w:sz w:val="24"/>
          <w:szCs w:val="24"/>
        </w:rPr>
        <w:t xml:space="preserve">ection </w:t>
      </w:r>
      <w:r w:rsidRPr="006B57F5">
        <w:rPr>
          <w:rFonts w:ascii="Arial" w:hAnsi="Arial" w:cs="Arial"/>
          <w:sz w:val="24"/>
          <w:szCs w:val="24"/>
        </w:rPr>
        <w:t>75 was introduced to ensure that public policy was developed and implemented in a manner that helps promote equality of opportunity a</w:t>
      </w:r>
      <w:r>
        <w:rPr>
          <w:rFonts w:ascii="Arial" w:hAnsi="Arial" w:cs="Arial"/>
          <w:sz w:val="24"/>
          <w:szCs w:val="24"/>
        </w:rPr>
        <w:t>nd mitigate any adverse impacts</w:t>
      </w:r>
      <w:r w:rsidRPr="006B57F5">
        <w:rPr>
          <w:rFonts w:ascii="Arial" w:hAnsi="Arial" w:cs="Arial"/>
          <w:sz w:val="24"/>
          <w:szCs w:val="24"/>
        </w:rPr>
        <w:t xml:space="preserve"> on the nine named equality groups (relating to religious belief, political opinion, racial group, age, marital status, sexual orientation, gender, disability and dependants). </w:t>
      </w:r>
    </w:p>
    <w:p w:rsidR="006B57F5" w:rsidRPr="006B57F5" w:rsidRDefault="00D95279" w:rsidP="006B57F5">
      <w:pPr>
        <w:rPr>
          <w:rFonts w:ascii="Arial" w:hAnsi="Arial" w:cs="Arial"/>
          <w:sz w:val="24"/>
          <w:szCs w:val="24"/>
        </w:rPr>
      </w:pPr>
      <w:r>
        <w:rPr>
          <w:rFonts w:ascii="Arial" w:hAnsi="Arial" w:cs="Arial"/>
          <w:sz w:val="24"/>
          <w:szCs w:val="24"/>
        </w:rPr>
        <w:t>The existence of s</w:t>
      </w:r>
      <w:r w:rsidR="00237092">
        <w:rPr>
          <w:rFonts w:ascii="Arial" w:hAnsi="Arial" w:cs="Arial"/>
          <w:sz w:val="24"/>
          <w:szCs w:val="24"/>
        </w:rPr>
        <w:t xml:space="preserve">ection </w:t>
      </w:r>
      <w:r w:rsidR="006B57F5" w:rsidRPr="006B57F5">
        <w:rPr>
          <w:rFonts w:ascii="Arial" w:hAnsi="Arial" w:cs="Arial"/>
          <w:sz w:val="24"/>
          <w:szCs w:val="24"/>
        </w:rPr>
        <w:t>75 is well known, but the requirements for fulfilling the duty in practice are often misunderstood. S</w:t>
      </w:r>
      <w:r>
        <w:rPr>
          <w:rFonts w:ascii="Arial" w:hAnsi="Arial" w:cs="Arial"/>
          <w:sz w:val="24"/>
          <w:szCs w:val="24"/>
        </w:rPr>
        <w:t xml:space="preserve">ection </w:t>
      </w:r>
      <w:r w:rsidR="006B57F5" w:rsidRPr="006B57F5">
        <w:rPr>
          <w:rFonts w:ascii="Arial" w:hAnsi="Arial" w:cs="Arial"/>
          <w:sz w:val="24"/>
          <w:szCs w:val="24"/>
        </w:rPr>
        <w:t xml:space="preserve">75 requires that a designated public authority, shall in carrying out its functions relating to Northern Ireland have due regard to the need to promote equality of opportunity between the nine equality groups. In order to fulfil this duty, public authorities must comply with both: </w:t>
      </w:r>
    </w:p>
    <w:p w:rsidR="006B57F5" w:rsidRPr="00031CB5" w:rsidRDefault="00031CB5" w:rsidP="00031CB5">
      <w:pPr>
        <w:pStyle w:val="ListParagraph"/>
        <w:numPr>
          <w:ilvl w:val="0"/>
          <w:numId w:val="6"/>
        </w:numPr>
        <w:rPr>
          <w:rFonts w:ascii="Arial" w:hAnsi="Arial" w:cs="Arial"/>
          <w:sz w:val="24"/>
          <w:szCs w:val="24"/>
        </w:rPr>
      </w:pPr>
      <w:r>
        <w:rPr>
          <w:rFonts w:ascii="Arial" w:hAnsi="Arial" w:cs="Arial"/>
          <w:sz w:val="24"/>
          <w:szCs w:val="24"/>
        </w:rPr>
        <w:t>t</w:t>
      </w:r>
      <w:r w:rsidR="006B57F5" w:rsidRPr="00031CB5">
        <w:rPr>
          <w:rFonts w:ascii="Arial" w:hAnsi="Arial" w:cs="Arial"/>
          <w:sz w:val="24"/>
          <w:szCs w:val="24"/>
        </w:rPr>
        <w:t xml:space="preserve">he definition of ‘due regard’; and </w:t>
      </w:r>
    </w:p>
    <w:p w:rsidR="006B57F5" w:rsidRPr="00031CB5" w:rsidRDefault="006B57F5" w:rsidP="00031CB5">
      <w:pPr>
        <w:pStyle w:val="ListParagraph"/>
        <w:numPr>
          <w:ilvl w:val="0"/>
          <w:numId w:val="6"/>
        </w:numPr>
        <w:rPr>
          <w:rFonts w:ascii="Arial" w:hAnsi="Arial" w:cs="Arial"/>
          <w:sz w:val="24"/>
          <w:szCs w:val="24"/>
        </w:rPr>
      </w:pPr>
      <w:r w:rsidRPr="00031CB5">
        <w:rPr>
          <w:rFonts w:ascii="Arial" w:hAnsi="Arial" w:cs="Arial"/>
          <w:sz w:val="24"/>
          <w:szCs w:val="24"/>
        </w:rPr>
        <w:t xml:space="preserve">the requirements of Schedule 9 Northern Ireland Act 1998 (‘Schedule 9’). </w:t>
      </w:r>
    </w:p>
    <w:p w:rsidR="00AF063D" w:rsidRPr="00A47F24" w:rsidRDefault="006B57F5" w:rsidP="006B57F5">
      <w:pPr>
        <w:rPr>
          <w:rFonts w:ascii="Arial" w:hAnsi="Arial" w:cs="Arial"/>
          <w:sz w:val="24"/>
          <w:szCs w:val="24"/>
        </w:rPr>
      </w:pPr>
      <w:r w:rsidRPr="006B57F5">
        <w:rPr>
          <w:rFonts w:ascii="Arial" w:hAnsi="Arial" w:cs="Arial"/>
          <w:sz w:val="24"/>
          <w:szCs w:val="24"/>
        </w:rPr>
        <w:t xml:space="preserve">Each of these </w:t>
      </w:r>
      <w:r w:rsidR="0094278B">
        <w:rPr>
          <w:rFonts w:ascii="Arial" w:hAnsi="Arial" w:cs="Arial"/>
          <w:sz w:val="24"/>
          <w:szCs w:val="24"/>
        </w:rPr>
        <w:t>provide</w:t>
      </w:r>
      <w:r w:rsidRPr="006B57F5">
        <w:rPr>
          <w:rFonts w:ascii="Arial" w:hAnsi="Arial" w:cs="Arial"/>
          <w:sz w:val="24"/>
          <w:szCs w:val="24"/>
        </w:rPr>
        <w:t xml:space="preserve"> more detailed information to inform public authorities how to</w:t>
      </w:r>
      <w:r w:rsidR="0094278B">
        <w:rPr>
          <w:rFonts w:ascii="Arial" w:hAnsi="Arial" w:cs="Arial"/>
          <w:sz w:val="24"/>
          <w:szCs w:val="24"/>
        </w:rPr>
        <w:t xml:space="preserve"> </w:t>
      </w:r>
      <w:r w:rsidRPr="006B57F5">
        <w:rPr>
          <w:rFonts w:ascii="Arial" w:hAnsi="Arial" w:cs="Arial"/>
          <w:sz w:val="24"/>
          <w:szCs w:val="24"/>
        </w:rPr>
        <w:t>apply s</w:t>
      </w:r>
      <w:r w:rsidR="007D3BA3">
        <w:rPr>
          <w:rFonts w:ascii="Arial" w:hAnsi="Arial" w:cs="Arial"/>
          <w:sz w:val="24"/>
          <w:szCs w:val="24"/>
        </w:rPr>
        <w:t xml:space="preserve">ection </w:t>
      </w:r>
      <w:r w:rsidRPr="006B57F5">
        <w:rPr>
          <w:rFonts w:ascii="Arial" w:hAnsi="Arial" w:cs="Arial"/>
          <w:sz w:val="24"/>
          <w:szCs w:val="24"/>
        </w:rPr>
        <w:t xml:space="preserve">75. </w:t>
      </w:r>
    </w:p>
    <w:p w:rsidR="008A5A4E" w:rsidRDefault="008A5A4E" w:rsidP="006B57F5">
      <w:pPr>
        <w:rPr>
          <w:rFonts w:ascii="Arial" w:hAnsi="Arial" w:cs="Arial"/>
          <w:b/>
          <w:sz w:val="24"/>
          <w:szCs w:val="24"/>
        </w:rPr>
      </w:pPr>
    </w:p>
    <w:p w:rsidR="006B57F5" w:rsidRPr="00A47F24" w:rsidRDefault="006B57F5" w:rsidP="006B57F5">
      <w:pPr>
        <w:rPr>
          <w:rFonts w:ascii="Arial" w:hAnsi="Arial" w:cs="Arial"/>
          <w:b/>
          <w:sz w:val="24"/>
          <w:szCs w:val="24"/>
        </w:rPr>
      </w:pPr>
      <w:r w:rsidRPr="00A47F24">
        <w:rPr>
          <w:rFonts w:ascii="Arial" w:hAnsi="Arial" w:cs="Arial"/>
          <w:b/>
          <w:sz w:val="24"/>
          <w:szCs w:val="24"/>
        </w:rPr>
        <w:t xml:space="preserve">Definition of ‘Due Regard’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‘Due regard’ is considered by the Equality Commission for Northern Ireland (‘ECNI’) to mean that ‘the weight given by a public authority to the need to promote equality of opportunity is proportionate to the relevance of the particular duty to any function </w:t>
      </w:r>
      <w:r w:rsidR="0094278B">
        <w:rPr>
          <w:rFonts w:ascii="Arial" w:hAnsi="Arial" w:cs="Arial"/>
          <w:sz w:val="24"/>
          <w:szCs w:val="24"/>
        </w:rPr>
        <w:t>of the public authority.’</w:t>
      </w:r>
      <w:r w:rsidR="0094278B">
        <w:rPr>
          <w:rStyle w:val="FootnoteReference"/>
          <w:rFonts w:ascii="Arial" w:hAnsi="Arial" w:cs="Arial"/>
          <w:sz w:val="24"/>
          <w:szCs w:val="24"/>
        </w:rPr>
        <w:footnoteReference w:id="2"/>
      </w:r>
      <w:r w:rsidRPr="006B57F5">
        <w:rPr>
          <w:rFonts w:ascii="Arial" w:hAnsi="Arial" w:cs="Arial"/>
          <w:sz w:val="24"/>
          <w:szCs w:val="24"/>
        </w:rPr>
        <w:t xml:space="preserve"> For a similar public sector race equality duty in Great </w:t>
      </w:r>
      <w:r w:rsidR="0094278B">
        <w:rPr>
          <w:rFonts w:ascii="Arial" w:hAnsi="Arial" w:cs="Arial"/>
          <w:sz w:val="24"/>
          <w:szCs w:val="24"/>
        </w:rPr>
        <w:t>Britain,</w:t>
      </w:r>
      <w:r w:rsidR="0094278B">
        <w:rPr>
          <w:rStyle w:val="FootnoteReference"/>
          <w:rFonts w:ascii="Arial" w:hAnsi="Arial" w:cs="Arial"/>
          <w:sz w:val="24"/>
          <w:szCs w:val="24"/>
        </w:rPr>
        <w:footnoteReference w:id="3"/>
      </w:r>
      <w:r w:rsidRPr="006B57F5">
        <w:rPr>
          <w:rFonts w:ascii="Arial" w:hAnsi="Arial" w:cs="Arial"/>
          <w:sz w:val="24"/>
          <w:szCs w:val="24"/>
        </w:rPr>
        <w:t xml:space="preserve"> Dyson LJ defined due regard as: </w:t>
      </w:r>
    </w:p>
    <w:p w:rsidR="006B57F5" w:rsidRPr="006B57F5" w:rsidRDefault="00A1495C" w:rsidP="00A1495C">
      <w:pPr>
        <w:ind w:left="720"/>
        <w:rPr>
          <w:rFonts w:ascii="Arial" w:hAnsi="Arial" w:cs="Arial"/>
          <w:sz w:val="24"/>
          <w:szCs w:val="24"/>
        </w:rPr>
      </w:pPr>
      <w:r>
        <w:rPr>
          <w:rFonts w:ascii="Arial" w:hAnsi="Arial" w:cs="Arial"/>
          <w:sz w:val="24"/>
          <w:szCs w:val="24"/>
        </w:rPr>
        <w:t>‘</w:t>
      </w:r>
      <w:r w:rsidR="006B57F5" w:rsidRPr="006B57F5">
        <w:rPr>
          <w:rFonts w:ascii="Arial" w:hAnsi="Arial" w:cs="Arial"/>
          <w:sz w:val="24"/>
          <w:szCs w:val="24"/>
        </w:rPr>
        <w:t xml:space="preserve">the regard that is appropriate in all the circumstances. These include on the one hand the importance of the areas of life of the members of the disadvantaged racial group that are affected by the inequality of opportunity and the extent of the inequality; and on the other hand, such countervailing factors as are relevant to the function which the decision-maker is </w:t>
      </w:r>
      <w:r w:rsidR="0094278B">
        <w:rPr>
          <w:rFonts w:ascii="Arial" w:hAnsi="Arial" w:cs="Arial"/>
          <w:sz w:val="24"/>
          <w:szCs w:val="24"/>
        </w:rPr>
        <w:t>performing</w:t>
      </w:r>
      <w:r>
        <w:rPr>
          <w:rFonts w:ascii="Arial" w:hAnsi="Arial" w:cs="Arial"/>
          <w:sz w:val="24"/>
          <w:szCs w:val="24"/>
        </w:rPr>
        <w:t>’</w:t>
      </w:r>
      <w:r w:rsidR="0094278B">
        <w:rPr>
          <w:rFonts w:ascii="Arial" w:hAnsi="Arial" w:cs="Arial"/>
          <w:sz w:val="24"/>
          <w:szCs w:val="24"/>
        </w:rPr>
        <w:t>.</w:t>
      </w:r>
      <w:r w:rsidR="0094278B">
        <w:rPr>
          <w:rStyle w:val="FootnoteReference"/>
          <w:rFonts w:ascii="Arial" w:hAnsi="Arial" w:cs="Arial"/>
          <w:sz w:val="24"/>
          <w:szCs w:val="24"/>
        </w:rPr>
        <w:footnoteReference w:id="4"/>
      </w:r>
      <w:r w:rsidR="006B57F5" w:rsidRPr="006B57F5">
        <w:rPr>
          <w:rFonts w:ascii="Arial" w:hAnsi="Arial" w:cs="Arial"/>
          <w:sz w:val="24"/>
          <w:szCs w:val="24"/>
        </w:rPr>
        <w:t xml:space="preserve"> </w:t>
      </w:r>
    </w:p>
    <w:p w:rsidR="00031CB5" w:rsidRDefault="006B57F5" w:rsidP="006B57F5">
      <w:pPr>
        <w:rPr>
          <w:rFonts w:ascii="Arial" w:hAnsi="Arial" w:cs="Arial"/>
          <w:sz w:val="24"/>
          <w:szCs w:val="24"/>
        </w:rPr>
      </w:pPr>
      <w:r w:rsidRPr="006B57F5">
        <w:rPr>
          <w:rFonts w:ascii="Arial" w:hAnsi="Arial" w:cs="Arial"/>
          <w:sz w:val="24"/>
          <w:szCs w:val="24"/>
        </w:rPr>
        <w:lastRenderedPageBreak/>
        <w:t>The above definition has also been applied to the meaning of ‘due regard’ in s</w:t>
      </w:r>
      <w:r w:rsidR="00D95279">
        <w:rPr>
          <w:rFonts w:ascii="Arial" w:hAnsi="Arial" w:cs="Arial"/>
          <w:sz w:val="24"/>
          <w:szCs w:val="24"/>
        </w:rPr>
        <w:t xml:space="preserve">ection </w:t>
      </w:r>
      <w:r w:rsidRPr="006B57F5">
        <w:rPr>
          <w:rFonts w:ascii="Arial" w:hAnsi="Arial" w:cs="Arial"/>
          <w:sz w:val="24"/>
          <w:szCs w:val="24"/>
        </w:rPr>
        <w:t>75 by our local High Court in 2011.</w:t>
      </w:r>
      <w:r w:rsidR="0094278B">
        <w:rPr>
          <w:rStyle w:val="FootnoteReference"/>
          <w:rFonts w:ascii="Arial" w:hAnsi="Arial" w:cs="Arial"/>
          <w:sz w:val="24"/>
          <w:szCs w:val="24"/>
        </w:rPr>
        <w:footnoteReference w:id="5"/>
      </w:r>
      <w:r w:rsidRPr="006B57F5">
        <w:rPr>
          <w:rFonts w:ascii="Arial" w:hAnsi="Arial" w:cs="Arial"/>
          <w:sz w:val="24"/>
          <w:szCs w:val="24"/>
        </w:rPr>
        <w:t xml:space="preserve"> In that case, the Lord Chief Justice Sir Declan Mo</w:t>
      </w:r>
      <w:r w:rsidR="0094278B">
        <w:rPr>
          <w:rFonts w:ascii="Arial" w:hAnsi="Arial" w:cs="Arial"/>
          <w:sz w:val="24"/>
          <w:szCs w:val="24"/>
        </w:rPr>
        <w:t>rgan, referred to other caselaw</w:t>
      </w:r>
      <w:r w:rsidR="0094278B">
        <w:rPr>
          <w:rStyle w:val="FootnoteReference"/>
          <w:rFonts w:ascii="Arial" w:hAnsi="Arial" w:cs="Arial"/>
          <w:sz w:val="24"/>
          <w:szCs w:val="24"/>
        </w:rPr>
        <w:footnoteReference w:id="6"/>
      </w:r>
      <w:r w:rsidRPr="006B57F5">
        <w:rPr>
          <w:rFonts w:ascii="Arial" w:hAnsi="Arial" w:cs="Arial"/>
          <w:sz w:val="24"/>
          <w:szCs w:val="24"/>
        </w:rPr>
        <w:t xml:space="preserve"> which summarised some key principles for having ‘due</w:t>
      </w:r>
      <w:r w:rsidR="00031CB5">
        <w:rPr>
          <w:rFonts w:ascii="Arial" w:hAnsi="Arial" w:cs="Arial"/>
          <w:sz w:val="24"/>
          <w:szCs w:val="24"/>
        </w:rPr>
        <w:t xml:space="preserve"> </w:t>
      </w:r>
      <w:r w:rsidRPr="006B57F5">
        <w:rPr>
          <w:rFonts w:ascii="Arial" w:hAnsi="Arial" w:cs="Arial"/>
          <w:sz w:val="24"/>
          <w:szCs w:val="24"/>
        </w:rPr>
        <w:t xml:space="preserve">regard’. </w:t>
      </w:r>
    </w:p>
    <w:p w:rsidR="00AF063D" w:rsidRPr="006B57F5" w:rsidRDefault="006B57F5" w:rsidP="006B57F5">
      <w:pPr>
        <w:rPr>
          <w:rFonts w:ascii="Arial" w:hAnsi="Arial" w:cs="Arial"/>
          <w:sz w:val="24"/>
          <w:szCs w:val="24"/>
        </w:rPr>
      </w:pPr>
      <w:r w:rsidRPr="006B57F5">
        <w:rPr>
          <w:rFonts w:ascii="Arial" w:hAnsi="Arial" w:cs="Arial"/>
          <w:sz w:val="24"/>
          <w:szCs w:val="24"/>
        </w:rPr>
        <w:t xml:space="preserve">These principles were confirmed and added to by the English </w:t>
      </w:r>
      <w:r w:rsidR="0094278B">
        <w:rPr>
          <w:rFonts w:ascii="Arial" w:hAnsi="Arial" w:cs="Arial"/>
          <w:sz w:val="24"/>
          <w:szCs w:val="24"/>
        </w:rPr>
        <w:t>Court of Appeal,</w:t>
      </w:r>
      <w:r w:rsidR="0094278B">
        <w:rPr>
          <w:rStyle w:val="FootnoteReference"/>
          <w:rFonts w:ascii="Arial" w:hAnsi="Arial" w:cs="Arial"/>
          <w:sz w:val="24"/>
          <w:szCs w:val="24"/>
        </w:rPr>
        <w:footnoteReference w:id="7"/>
      </w:r>
      <w:r w:rsidRPr="006B57F5">
        <w:rPr>
          <w:rFonts w:ascii="Arial" w:hAnsi="Arial" w:cs="Arial"/>
          <w:sz w:val="24"/>
          <w:szCs w:val="24"/>
        </w:rPr>
        <w:t xml:space="preserve"> as follows:</w:t>
      </w:r>
    </w:p>
    <w:p w:rsidR="006B57F5" w:rsidRPr="0094278B" w:rsidRDefault="006B57F5" w:rsidP="0094278B">
      <w:pPr>
        <w:pStyle w:val="ListParagraph"/>
        <w:numPr>
          <w:ilvl w:val="0"/>
          <w:numId w:val="2"/>
        </w:numPr>
        <w:rPr>
          <w:rFonts w:ascii="Arial" w:hAnsi="Arial" w:cs="Arial"/>
          <w:sz w:val="24"/>
          <w:szCs w:val="24"/>
        </w:rPr>
      </w:pPr>
      <w:r w:rsidRPr="0094278B">
        <w:rPr>
          <w:rFonts w:ascii="Arial" w:hAnsi="Arial" w:cs="Arial"/>
          <w:sz w:val="24"/>
          <w:szCs w:val="24"/>
        </w:rPr>
        <w:t xml:space="preserve">the duty must be fulfilled before and at the time of the decision, not as justification after the fact; </w:t>
      </w:r>
    </w:p>
    <w:p w:rsidR="0094278B" w:rsidRDefault="006B57F5" w:rsidP="006B57F5">
      <w:pPr>
        <w:pStyle w:val="ListParagraph"/>
        <w:numPr>
          <w:ilvl w:val="0"/>
          <w:numId w:val="2"/>
        </w:numPr>
        <w:rPr>
          <w:rFonts w:ascii="Arial" w:hAnsi="Arial" w:cs="Arial"/>
          <w:sz w:val="24"/>
          <w:szCs w:val="24"/>
        </w:rPr>
      </w:pPr>
      <w:r w:rsidRPr="0094278B">
        <w:rPr>
          <w:rFonts w:ascii="Arial" w:hAnsi="Arial" w:cs="Arial"/>
          <w:sz w:val="24"/>
          <w:szCs w:val="24"/>
        </w:rPr>
        <w:t xml:space="preserve">the duty is to have due regard, not to achieve results or to refer in terms to the duty (although it is good practice to keep an adequate record); </w:t>
      </w:r>
    </w:p>
    <w:p w:rsidR="0094278B" w:rsidRDefault="006B57F5" w:rsidP="006B57F5">
      <w:pPr>
        <w:pStyle w:val="ListParagraph"/>
        <w:numPr>
          <w:ilvl w:val="0"/>
          <w:numId w:val="2"/>
        </w:numPr>
        <w:rPr>
          <w:rFonts w:ascii="Arial" w:hAnsi="Arial" w:cs="Arial"/>
          <w:sz w:val="24"/>
          <w:szCs w:val="24"/>
        </w:rPr>
      </w:pPr>
      <w:r w:rsidRPr="0094278B">
        <w:rPr>
          <w:rFonts w:ascii="Arial" w:hAnsi="Arial" w:cs="Arial"/>
          <w:sz w:val="24"/>
          <w:szCs w:val="24"/>
        </w:rPr>
        <w:t>the test of whether a decision maker has had due regard is a test of the</w:t>
      </w:r>
      <w:r w:rsidR="0094278B">
        <w:rPr>
          <w:rFonts w:ascii="Arial" w:hAnsi="Arial" w:cs="Arial"/>
          <w:sz w:val="24"/>
          <w:szCs w:val="24"/>
        </w:rPr>
        <w:t xml:space="preserve"> </w:t>
      </w:r>
      <w:r w:rsidRPr="0094278B">
        <w:rPr>
          <w:rFonts w:ascii="Arial" w:hAnsi="Arial" w:cs="Arial"/>
          <w:sz w:val="24"/>
          <w:szCs w:val="24"/>
        </w:rPr>
        <w:t>substance of the matter, n</w:t>
      </w:r>
      <w:r w:rsidR="0094278B">
        <w:rPr>
          <w:rFonts w:ascii="Arial" w:hAnsi="Arial" w:cs="Arial"/>
          <w:sz w:val="24"/>
          <w:szCs w:val="24"/>
        </w:rPr>
        <w:t>ot of mere form or box-ticking,</w:t>
      </w:r>
    </w:p>
    <w:p w:rsidR="0094278B" w:rsidRDefault="006B57F5" w:rsidP="006B57F5">
      <w:pPr>
        <w:pStyle w:val="ListParagraph"/>
        <w:numPr>
          <w:ilvl w:val="0"/>
          <w:numId w:val="2"/>
        </w:numPr>
        <w:rPr>
          <w:rFonts w:ascii="Arial" w:hAnsi="Arial" w:cs="Arial"/>
          <w:sz w:val="24"/>
          <w:szCs w:val="24"/>
        </w:rPr>
      </w:pPr>
      <w:r w:rsidRPr="0094278B">
        <w:rPr>
          <w:rFonts w:ascii="Arial" w:hAnsi="Arial" w:cs="Arial"/>
          <w:sz w:val="24"/>
          <w:szCs w:val="24"/>
        </w:rPr>
        <w:t>the duty must be performed with vigour and with an open mind;</w:t>
      </w:r>
    </w:p>
    <w:p w:rsidR="0094278B" w:rsidRDefault="006B57F5" w:rsidP="006B57F5">
      <w:pPr>
        <w:pStyle w:val="ListParagraph"/>
        <w:numPr>
          <w:ilvl w:val="0"/>
          <w:numId w:val="2"/>
        </w:numPr>
        <w:rPr>
          <w:rFonts w:ascii="Arial" w:hAnsi="Arial" w:cs="Arial"/>
          <w:sz w:val="24"/>
          <w:szCs w:val="24"/>
        </w:rPr>
      </w:pPr>
      <w:r w:rsidRPr="0094278B">
        <w:rPr>
          <w:rFonts w:ascii="Arial" w:hAnsi="Arial" w:cs="Arial"/>
          <w:sz w:val="24"/>
          <w:szCs w:val="24"/>
        </w:rPr>
        <w:t xml:space="preserve">it is a continuing duty; and </w:t>
      </w:r>
    </w:p>
    <w:p w:rsidR="0094278B" w:rsidRDefault="006B57F5" w:rsidP="006B57F5">
      <w:pPr>
        <w:pStyle w:val="ListParagraph"/>
        <w:numPr>
          <w:ilvl w:val="0"/>
          <w:numId w:val="2"/>
        </w:numPr>
        <w:rPr>
          <w:rFonts w:ascii="Arial" w:hAnsi="Arial" w:cs="Arial"/>
          <w:sz w:val="24"/>
          <w:szCs w:val="24"/>
        </w:rPr>
      </w:pPr>
      <w:r w:rsidRPr="0094278B">
        <w:rPr>
          <w:rFonts w:ascii="Arial" w:hAnsi="Arial" w:cs="Arial"/>
          <w:sz w:val="24"/>
          <w:szCs w:val="24"/>
        </w:rPr>
        <w:t>it is a non-delegable duty.</w:t>
      </w: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6B57F5" w:rsidRPr="00A47F24" w:rsidRDefault="006B57F5" w:rsidP="006B57F5">
      <w:pPr>
        <w:rPr>
          <w:rFonts w:ascii="Arial" w:hAnsi="Arial" w:cs="Arial"/>
          <w:b/>
          <w:sz w:val="24"/>
          <w:szCs w:val="24"/>
        </w:rPr>
      </w:pPr>
      <w:r w:rsidRPr="00A47F24">
        <w:rPr>
          <w:rFonts w:ascii="Arial" w:hAnsi="Arial" w:cs="Arial"/>
          <w:b/>
          <w:sz w:val="24"/>
          <w:szCs w:val="24"/>
        </w:rPr>
        <w:t xml:space="preserve">Requirements of Schedule 9 </w:t>
      </w:r>
    </w:p>
    <w:p w:rsidR="006B57F5" w:rsidRPr="006B57F5" w:rsidRDefault="006B57F5" w:rsidP="006B57F5">
      <w:pPr>
        <w:rPr>
          <w:rFonts w:ascii="Arial" w:hAnsi="Arial" w:cs="Arial"/>
          <w:sz w:val="24"/>
          <w:szCs w:val="24"/>
        </w:rPr>
      </w:pPr>
      <w:r w:rsidRPr="006B57F5">
        <w:rPr>
          <w:rFonts w:ascii="Arial" w:hAnsi="Arial" w:cs="Arial"/>
          <w:sz w:val="24"/>
          <w:szCs w:val="24"/>
        </w:rPr>
        <w:t>In addition to the need to have ‘due regard’, Schedule 9 provides more detailed information on how s</w:t>
      </w:r>
      <w:r w:rsidR="00D95279">
        <w:rPr>
          <w:rFonts w:ascii="Arial" w:hAnsi="Arial" w:cs="Arial"/>
          <w:sz w:val="24"/>
          <w:szCs w:val="24"/>
        </w:rPr>
        <w:t xml:space="preserve">ection </w:t>
      </w:r>
      <w:r w:rsidRPr="006B57F5">
        <w:rPr>
          <w:rFonts w:ascii="Arial" w:hAnsi="Arial" w:cs="Arial"/>
          <w:sz w:val="24"/>
          <w:szCs w:val="24"/>
        </w:rPr>
        <w:t>75 is applied. It provides that an equality ‘scheme shall show how the public authority proposes to ful</w:t>
      </w:r>
      <w:r w:rsidR="00950922">
        <w:rPr>
          <w:rFonts w:ascii="Arial" w:hAnsi="Arial" w:cs="Arial"/>
          <w:sz w:val="24"/>
          <w:szCs w:val="24"/>
        </w:rPr>
        <w:t>fil the duties imposed by s75.’</w:t>
      </w:r>
      <w:r w:rsidR="00950922">
        <w:rPr>
          <w:rStyle w:val="FootnoteReference"/>
          <w:rFonts w:ascii="Arial" w:hAnsi="Arial" w:cs="Arial"/>
          <w:sz w:val="24"/>
          <w:szCs w:val="24"/>
        </w:rPr>
        <w:footnoteReference w:id="8"/>
      </w:r>
      <w:r w:rsidRPr="006B57F5">
        <w:rPr>
          <w:rFonts w:ascii="Arial" w:hAnsi="Arial" w:cs="Arial"/>
          <w:sz w:val="24"/>
          <w:szCs w:val="24"/>
        </w:rPr>
        <w:t xml:space="preserve"> It specifies that each equality scheme must contain (among others): </w:t>
      </w:r>
    </w:p>
    <w:p w:rsidR="006B57F5" w:rsidRPr="00950922" w:rsidRDefault="006B57F5" w:rsidP="00950922">
      <w:pPr>
        <w:pStyle w:val="ListParagraph"/>
        <w:numPr>
          <w:ilvl w:val="0"/>
          <w:numId w:val="3"/>
        </w:numPr>
        <w:rPr>
          <w:rFonts w:ascii="Arial" w:hAnsi="Arial" w:cs="Arial"/>
          <w:sz w:val="24"/>
          <w:szCs w:val="24"/>
        </w:rPr>
      </w:pPr>
      <w:r w:rsidRPr="00950922">
        <w:rPr>
          <w:rFonts w:ascii="Arial" w:hAnsi="Arial" w:cs="Arial"/>
          <w:sz w:val="24"/>
          <w:szCs w:val="24"/>
        </w:rPr>
        <w:t xml:space="preserve">arrangements for assessing and consulting on the impact on equality of opportunity of policies adopted or proposed; </w:t>
      </w:r>
    </w:p>
    <w:p w:rsidR="006B57F5" w:rsidRPr="00950922" w:rsidRDefault="006B57F5" w:rsidP="00950922">
      <w:pPr>
        <w:pStyle w:val="ListParagraph"/>
        <w:numPr>
          <w:ilvl w:val="0"/>
          <w:numId w:val="3"/>
        </w:numPr>
        <w:rPr>
          <w:rFonts w:ascii="Arial" w:hAnsi="Arial" w:cs="Arial"/>
          <w:sz w:val="24"/>
          <w:szCs w:val="24"/>
        </w:rPr>
      </w:pPr>
      <w:r w:rsidRPr="00950922">
        <w:rPr>
          <w:rFonts w:ascii="Arial" w:hAnsi="Arial" w:cs="Arial"/>
          <w:sz w:val="24"/>
          <w:szCs w:val="24"/>
        </w:rPr>
        <w:t xml:space="preserve">arrangements for monitoring and publishing any adverse impact of such policies; </w:t>
      </w:r>
    </w:p>
    <w:p w:rsidR="006B57F5" w:rsidRPr="00950922" w:rsidRDefault="006B57F5" w:rsidP="00950922">
      <w:pPr>
        <w:pStyle w:val="ListParagraph"/>
        <w:numPr>
          <w:ilvl w:val="0"/>
          <w:numId w:val="3"/>
        </w:numPr>
        <w:rPr>
          <w:rFonts w:ascii="Arial" w:hAnsi="Arial" w:cs="Arial"/>
          <w:sz w:val="24"/>
          <w:szCs w:val="24"/>
        </w:rPr>
      </w:pPr>
      <w:r w:rsidRPr="00950922">
        <w:rPr>
          <w:rFonts w:ascii="Arial" w:hAnsi="Arial" w:cs="Arial"/>
          <w:sz w:val="24"/>
          <w:szCs w:val="24"/>
        </w:rPr>
        <w:t xml:space="preserve">arrangements for publishing the results of the assessments of equality impacts, including:  measures which might mitigate any adverse impact; and </w:t>
      </w:r>
    </w:p>
    <w:p w:rsidR="006B57F5" w:rsidRPr="00950922" w:rsidRDefault="006B57F5" w:rsidP="00950922">
      <w:pPr>
        <w:pStyle w:val="ListParagraph"/>
        <w:numPr>
          <w:ilvl w:val="0"/>
          <w:numId w:val="3"/>
        </w:numPr>
        <w:rPr>
          <w:rFonts w:ascii="Arial" w:hAnsi="Arial" w:cs="Arial"/>
          <w:sz w:val="24"/>
          <w:szCs w:val="24"/>
        </w:rPr>
      </w:pPr>
      <w:r w:rsidRPr="00950922">
        <w:rPr>
          <w:rFonts w:ascii="Arial" w:hAnsi="Arial" w:cs="Arial"/>
          <w:sz w:val="24"/>
          <w:szCs w:val="24"/>
        </w:rPr>
        <w:t>alternative policies which might better achieve the promotion of equality of opportunity; and</w:t>
      </w:r>
    </w:p>
    <w:p w:rsidR="008A7B1F" w:rsidRPr="00A47F24" w:rsidRDefault="006B57F5" w:rsidP="006B57F5">
      <w:pPr>
        <w:pStyle w:val="ListParagraph"/>
        <w:numPr>
          <w:ilvl w:val="0"/>
          <w:numId w:val="3"/>
        </w:numPr>
        <w:rPr>
          <w:rFonts w:ascii="Arial" w:hAnsi="Arial" w:cs="Arial"/>
          <w:sz w:val="24"/>
          <w:szCs w:val="24"/>
        </w:rPr>
      </w:pPr>
      <w:r w:rsidRPr="00950922">
        <w:rPr>
          <w:rFonts w:ascii="Arial" w:hAnsi="Arial" w:cs="Arial"/>
          <w:sz w:val="24"/>
          <w:szCs w:val="24"/>
        </w:rPr>
        <w:t xml:space="preserve">arrangements for ensuring and assessing public access to information and services. </w:t>
      </w:r>
    </w:p>
    <w:p w:rsidR="00386AB9" w:rsidRDefault="00386AB9" w:rsidP="006B57F5">
      <w:pPr>
        <w:rPr>
          <w:rFonts w:ascii="Arial" w:hAnsi="Arial" w:cs="Arial"/>
          <w:sz w:val="24"/>
          <w:szCs w:val="24"/>
        </w:rPr>
      </w:pPr>
    </w:p>
    <w:p w:rsidR="006B57F5" w:rsidRPr="006B57F5" w:rsidRDefault="006B57F5" w:rsidP="006B57F5">
      <w:pPr>
        <w:rPr>
          <w:rFonts w:ascii="Arial" w:hAnsi="Arial" w:cs="Arial"/>
          <w:sz w:val="24"/>
          <w:szCs w:val="24"/>
        </w:rPr>
      </w:pPr>
      <w:r w:rsidRPr="006B57F5">
        <w:rPr>
          <w:rFonts w:ascii="Arial" w:hAnsi="Arial" w:cs="Arial"/>
          <w:sz w:val="24"/>
          <w:szCs w:val="24"/>
        </w:rPr>
        <w:t xml:space="preserve">Schedule 9 also requires that, in making any decision with respect to a policy adopted or proposed to be adopted by it, a public authority shall take into account the assessment and consultation carried out in relation to equality impacts. It sets out procedures for complaints and investigations to ensure that public authorities do not breach any of the commitments included in their equality schemes. </w:t>
      </w:r>
    </w:p>
    <w:p w:rsidR="006B57F5" w:rsidRPr="006B57F5" w:rsidRDefault="006B57F5" w:rsidP="006B57F5">
      <w:pPr>
        <w:rPr>
          <w:rFonts w:ascii="Arial" w:hAnsi="Arial" w:cs="Arial"/>
          <w:sz w:val="24"/>
          <w:szCs w:val="24"/>
        </w:rPr>
      </w:pPr>
      <w:r w:rsidRPr="006B57F5">
        <w:rPr>
          <w:rFonts w:ascii="Arial" w:hAnsi="Arial" w:cs="Arial"/>
          <w:sz w:val="24"/>
          <w:szCs w:val="24"/>
        </w:rPr>
        <w:t>In addition, Schedule 9 sets out that the equality schemes must conform to any guidelines as to form or content which are issued by ECNI with the approval of the Secretary of State (‘Guide</w:t>
      </w:r>
      <w:r w:rsidR="00950922">
        <w:rPr>
          <w:rFonts w:ascii="Arial" w:hAnsi="Arial" w:cs="Arial"/>
          <w:sz w:val="24"/>
          <w:szCs w:val="24"/>
        </w:rPr>
        <w:t>lines’). The ECNI’s 2010 guide</w:t>
      </w:r>
      <w:r w:rsidR="00950922">
        <w:rPr>
          <w:rStyle w:val="FootnoteReference"/>
          <w:rFonts w:ascii="Arial" w:hAnsi="Arial" w:cs="Arial"/>
          <w:sz w:val="24"/>
          <w:szCs w:val="24"/>
        </w:rPr>
        <w:footnoteReference w:id="9"/>
      </w:r>
      <w:r w:rsidRPr="006B57F5">
        <w:rPr>
          <w:rFonts w:ascii="Arial" w:hAnsi="Arial" w:cs="Arial"/>
          <w:sz w:val="24"/>
          <w:szCs w:val="24"/>
        </w:rPr>
        <w:t xml:space="preserve"> on s</w:t>
      </w:r>
      <w:r w:rsidR="00D95279">
        <w:rPr>
          <w:rFonts w:ascii="Arial" w:hAnsi="Arial" w:cs="Arial"/>
          <w:sz w:val="24"/>
          <w:szCs w:val="24"/>
        </w:rPr>
        <w:t xml:space="preserve">ection </w:t>
      </w:r>
      <w:r w:rsidRPr="006B57F5">
        <w:rPr>
          <w:rFonts w:ascii="Arial" w:hAnsi="Arial" w:cs="Arial"/>
          <w:sz w:val="24"/>
          <w:szCs w:val="24"/>
        </w:rPr>
        <w:t>75 also contains information on how to assess a policy’s impact on equality of opportunity, namely through screening and systematic analysis in equality impact assessments (‘EQIA’). The ECNI has release</w:t>
      </w:r>
      <w:r w:rsidR="00950922">
        <w:rPr>
          <w:rFonts w:ascii="Arial" w:hAnsi="Arial" w:cs="Arial"/>
          <w:sz w:val="24"/>
          <w:szCs w:val="24"/>
        </w:rPr>
        <w:t>d practical guidance on EQIAs.</w:t>
      </w:r>
      <w:r w:rsidR="00950922">
        <w:rPr>
          <w:rStyle w:val="FootnoteReference"/>
          <w:rFonts w:ascii="Arial" w:hAnsi="Arial" w:cs="Arial"/>
          <w:sz w:val="24"/>
          <w:szCs w:val="24"/>
        </w:rPr>
        <w:footnoteReference w:id="10"/>
      </w:r>
      <w:r w:rsidRPr="006B57F5">
        <w:rPr>
          <w:rFonts w:ascii="Arial" w:hAnsi="Arial" w:cs="Arial"/>
          <w:sz w:val="24"/>
          <w:szCs w:val="24"/>
        </w:rPr>
        <w:t xml:space="preserve"> This guidance sets out the steps required to carry out an EQIA and underlines the importance of: </w:t>
      </w:r>
    </w:p>
    <w:p w:rsidR="006B57F5" w:rsidRPr="00950922" w:rsidRDefault="006B57F5" w:rsidP="00950922">
      <w:pPr>
        <w:pStyle w:val="ListParagraph"/>
        <w:numPr>
          <w:ilvl w:val="0"/>
          <w:numId w:val="4"/>
        </w:numPr>
        <w:rPr>
          <w:rFonts w:ascii="Arial" w:hAnsi="Arial" w:cs="Arial"/>
          <w:sz w:val="24"/>
          <w:szCs w:val="24"/>
        </w:rPr>
      </w:pPr>
      <w:r w:rsidRPr="00950922">
        <w:rPr>
          <w:rFonts w:ascii="Arial" w:hAnsi="Arial" w:cs="Arial"/>
          <w:sz w:val="24"/>
          <w:szCs w:val="24"/>
        </w:rPr>
        <w:t xml:space="preserve">the consideration of available data and research; </w:t>
      </w:r>
    </w:p>
    <w:p w:rsidR="006B57F5" w:rsidRPr="00950922" w:rsidRDefault="006B57F5" w:rsidP="00950922">
      <w:pPr>
        <w:pStyle w:val="ListParagraph"/>
        <w:numPr>
          <w:ilvl w:val="0"/>
          <w:numId w:val="4"/>
        </w:numPr>
        <w:rPr>
          <w:rFonts w:ascii="Arial" w:hAnsi="Arial" w:cs="Arial"/>
          <w:sz w:val="24"/>
          <w:szCs w:val="24"/>
        </w:rPr>
      </w:pPr>
      <w:r w:rsidRPr="00950922">
        <w:rPr>
          <w:rFonts w:ascii="Arial" w:hAnsi="Arial" w:cs="Arial"/>
          <w:sz w:val="24"/>
          <w:szCs w:val="24"/>
        </w:rPr>
        <w:t xml:space="preserve">the use of that information to decide whether the is (likely to be) a differential </w:t>
      </w:r>
    </w:p>
    <w:p w:rsidR="006B57F5" w:rsidRPr="00950922" w:rsidRDefault="006B57F5" w:rsidP="00950922">
      <w:pPr>
        <w:pStyle w:val="ListParagraph"/>
        <w:rPr>
          <w:rFonts w:ascii="Arial" w:hAnsi="Arial" w:cs="Arial"/>
          <w:sz w:val="24"/>
          <w:szCs w:val="24"/>
        </w:rPr>
      </w:pPr>
      <w:r w:rsidRPr="00950922">
        <w:rPr>
          <w:rFonts w:ascii="Arial" w:hAnsi="Arial" w:cs="Arial"/>
          <w:sz w:val="24"/>
          <w:szCs w:val="24"/>
        </w:rPr>
        <w:t xml:space="preserve">impact on a relevant group; </w:t>
      </w:r>
    </w:p>
    <w:p w:rsidR="006B57F5" w:rsidRPr="00950922" w:rsidRDefault="006B57F5" w:rsidP="00950922">
      <w:pPr>
        <w:pStyle w:val="ListParagraph"/>
        <w:numPr>
          <w:ilvl w:val="0"/>
          <w:numId w:val="4"/>
        </w:numPr>
        <w:rPr>
          <w:rFonts w:ascii="Arial" w:hAnsi="Arial" w:cs="Arial"/>
          <w:sz w:val="24"/>
          <w:szCs w:val="24"/>
        </w:rPr>
      </w:pPr>
      <w:r w:rsidRPr="00950922">
        <w:rPr>
          <w:rFonts w:ascii="Arial" w:hAnsi="Arial" w:cs="Arial"/>
          <w:sz w:val="24"/>
          <w:szCs w:val="24"/>
        </w:rPr>
        <w:lastRenderedPageBreak/>
        <w:t xml:space="preserve">consideration of measures which might mitigate any adverse impact and </w:t>
      </w:r>
    </w:p>
    <w:p w:rsidR="006B57F5" w:rsidRPr="00950922" w:rsidRDefault="006B57F5" w:rsidP="00950922">
      <w:pPr>
        <w:pStyle w:val="ListParagraph"/>
        <w:numPr>
          <w:ilvl w:val="0"/>
          <w:numId w:val="4"/>
        </w:numPr>
        <w:rPr>
          <w:rFonts w:ascii="Arial" w:hAnsi="Arial" w:cs="Arial"/>
          <w:sz w:val="24"/>
          <w:szCs w:val="24"/>
        </w:rPr>
      </w:pPr>
      <w:r w:rsidRPr="00950922">
        <w:rPr>
          <w:rFonts w:ascii="Arial" w:hAnsi="Arial" w:cs="Arial"/>
          <w:sz w:val="24"/>
          <w:szCs w:val="24"/>
        </w:rPr>
        <w:t xml:space="preserve">alternative policies which might better achieve the promotion of equality of opportunity; and </w:t>
      </w:r>
    </w:p>
    <w:p w:rsidR="006B57F5" w:rsidRPr="00950922" w:rsidRDefault="006B57F5" w:rsidP="00950922">
      <w:pPr>
        <w:pStyle w:val="ListParagraph"/>
        <w:numPr>
          <w:ilvl w:val="0"/>
          <w:numId w:val="4"/>
        </w:numPr>
        <w:rPr>
          <w:rFonts w:ascii="Arial" w:hAnsi="Arial" w:cs="Arial"/>
          <w:sz w:val="24"/>
          <w:szCs w:val="24"/>
        </w:rPr>
      </w:pPr>
      <w:r w:rsidRPr="00950922">
        <w:rPr>
          <w:rFonts w:ascii="Arial" w:hAnsi="Arial" w:cs="Arial"/>
          <w:sz w:val="24"/>
          <w:szCs w:val="24"/>
        </w:rPr>
        <w:t>taking into account all of the above when making a decision with respect to</w:t>
      </w:r>
      <w:r w:rsidR="00950922">
        <w:rPr>
          <w:rFonts w:ascii="Arial" w:hAnsi="Arial" w:cs="Arial"/>
          <w:sz w:val="24"/>
          <w:szCs w:val="24"/>
        </w:rPr>
        <w:t xml:space="preserve"> </w:t>
      </w:r>
      <w:r w:rsidRPr="00950922">
        <w:rPr>
          <w:rFonts w:ascii="Arial" w:hAnsi="Arial" w:cs="Arial"/>
          <w:sz w:val="24"/>
          <w:szCs w:val="24"/>
        </w:rPr>
        <w:t xml:space="preserve">the proposed policy. </w:t>
      </w:r>
    </w:p>
    <w:p w:rsidR="006B57F5" w:rsidRPr="006B57F5" w:rsidRDefault="006B57F5" w:rsidP="006B57F5">
      <w:pPr>
        <w:rPr>
          <w:rFonts w:ascii="Arial" w:hAnsi="Arial" w:cs="Arial"/>
          <w:sz w:val="24"/>
          <w:szCs w:val="24"/>
        </w:rPr>
      </w:pPr>
      <w:r w:rsidRPr="006B57F5">
        <w:rPr>
          <w:rFonts w:ascii="Arial" w:hAnsi="Arial" w:cs="Arial"/>
          <w:sz w:val="24"/>
          <w:szCs w:val="24"/>
        </w:rPr>
        <w:t>In order for a public authority to have ‘due regard’ within the meaning of s</w:t>
      </w:r>
      <w:r w:rsidR="00D95279">
        <w:rPr>
          <w:rFonts w:ascii="Arial" w:hAnsi="Arial" w:cs="Arial"/>
          <w:sz w:val="24"/>
          <w:szCs w:val="24"/>
        </w:rPr>
        <w:t xml:space="preserve">ection </w:t>
      </w:r>
      <w:r w:rsidRPr="006B57F5">
        <w:rPr>
          <w:rFonts w:ascii="Arial" w:hAnsi="Arial" w:cs="Arial"/>
          <w:sz w:val="24"/>
          <w:szCs w:val="24"/>
        </w:rPr>
        <w:t>75, it must consider available data. Otherwise, it would merely be guessing as to what impacts a proposed policy might have on the nine equality groups. It is clear from Schedule 9 that a public authority must ‘assess’ (not guess) the impacts, and so sufficient data must b</w:t>
      </w:r>
      <w:r w:rsidR="0049328C">
        <w:rPr>
          <w:rFonts w:ascii="Arial" w:hAnsi="Arial" w:cs="Arial"/>
          <w:sz w:val="24"/>
          <w:szCs w:val="24"/>
        </w:rPr>
        <w:t xml:space="preserve">e required. </w:t>
      </w:r>
      <w:r w:rsidR="00C91982">
        <w:rPr>
          <w:rFonts w:ascii="Arial" w:hAnsi="Arial" w:cs="Arial"/>
          <w:sz w:val="24"/>
          <w:szCs w:val="24"/>
        </w:rPr>
        <w:t>Furthermore, the</w:t>
      </w:r>
      <w:r w:rsidRPr="00AF063D">
        <w:rPr>
          <w:rFonts w:ascii="Arial" w:hAnsi="Arial" w:cs="Arial"/>
          <w:sz w:val="24"/>
          <w:szCs w:val="24"/>
        </w:rPr>
        <w:t xml:space="preserve"> equality scheme recognises that, without sufficient information, it is not possible to conduct meaningful analysis of the impact of its policies</w:t>
      </w:r>
      <w:r w:rsidR="0049328C" w:rsidRPr="00AF063D">
        <w:rPr>
          <w:rFonts w:ascii="Arial" w:hAnsi="Arial" w:cs="Arial"/>
          <w:sz w:val="24"/>
          <w:szCs w:val="24"/>
        </w:rPr>
        <w:t xml:space="preserve"> on all of the nine categories.</w:t>
      </w:r>
      <w:r w:rsidR="00AF063D">
        <w:rPr>
          <w:rStyle w:val="FootnoteReference"/>
          <w:rFonts w:ascii="Arial" w:hAnsi="Arial" w:cs="Arial"/>
          <w:sz w:val="24"/>
          <w:szCs w:val="24"/>
        </w:rPr>
        <w:footnoteReference w:id="11"/>
      </w:r>
      <w:r w:rsidRPr="006B57F5">
        <w:rPr>
          <w:rFonts w:ascii="Arial" w:hAnsi="Arial" w:cs="Arial"/>
          <w:sz w:val="24"/>
          <w:szCs w:val="24"/>
        </w:rPr>
        <w:t xml:space="preserve"> In its practical guidance on EQIAs, the ECNI states that ‘relevant, reliable and up to date information is essen</w:t>
      </w:r>
      <w:r w:rsidR="0049328C">
        <w:rPr>
          <w:rFonts w:ascii="Arial" w:hAnsi="Arial" w:cs="Arial"/>
          <w:sz w:val="24"/>
          <w:szCs w:val="24"/>
        </w:rPr>
        <w:t>tial’ to carrying out an EQIA.</w:t>
      </w:r>
      <w:r w:rsidR="0049328C">
        <w:rPr>
          <w:rStyle w:val="FootnoteReference"/>
          <w:rFonts w:ascii="Arial" w:hAnsi="Arial" w:cs="Arial"/>
          <w:sz w:val="24"/>
          <w:szCs w:val="24"/>
        </w:rPr>
        <w:footnoteReference w:id="12"/>
      </w:r>
      <w:r w:rsidR="009D66AE">
        <w:rPr>
          <w:rFonts w:ascii="Arial" w:hAnsi="Arial" w:cs="Arial"/>
          <w:sz w:val="24"/>
          <w:szCs w:val="24"/>
        </w:rPr>
        <w:t xml:space="preserve"> </w:t>
      </w:r>
      <w:r w:rsidRPr="006B57F5">
        <w:rPr>
          <w:rFonts w:ascii="Arial" w:hAnsi="Arial" w:cs="Arial"/>
          <w:sz w:val="24"/>
          <w:szCs w:val="24"/>
        </w:rPr>
        <w:t xml:space="preserve"> </w:t>
      </w:r>
    </w:p>
    <w:p w:rsidR="006B57F5" w:rsidRPr="006B57F5" w:rsidRDefault="009D66AE" w:rsidP="006B57F5">
      <w:pPr>
        <w:rPr>
          <w:rFonts w:ascii="Arial" w:hAnsi="Arial" w:cs="Arial"/>
          <w:sz w:val="24"/>
          <w:szCs w:val="24"/>
        </w:rPr>
      </w:pPr>
      <w:r>
        <w:rPr>
          <w:rFonts w:ascii="Arial" w:hAnsi="Arial" w:cs="Arial"/>
          <w:sz w:val="24"/>
          <w:szCs w:val="24"/>
        </w:rPr>
        <w:t>Schedule 9 states that ‘i</w:t>
      </w:r>
      <w:r w:rsidR="006B57F5" w:rsidRPr="006B57F5">
        <w:rPr>
          <w:rFonts w:ascii="Arial" w:hAnsi="Arial" w:cs="Arial"/>
          <w:sz w:val="24"/>
          <w:szCs w:val="24"/>
        </w:rPr>
        <w:t>n making any decision with respect to a policy adopted or proposed to be adopted by it, a public authority shall take into account the assessment and consultation carried out’ in relation to t</w:t>
      </w:r>
      <w:r w:rsidR="0049328C">
        <w:rPr>
          <w:rFonts w:ascii="Arial" w:hAnsi="Arial" w:cs="Arial"/>
          <w:sz w:val="24"/>
          <w:szCs w:val="24"/>
        </w:rPr>
        <w:t>he policy’s equality impacts.</w:t>
      </w:r>
      <w:r w:rsidR="00002F0A">
        <w:rPr>
          <w:rFonts w:ascii="Arial" w:hAnsi="Arial" w:cs="Arial"/>
          <w:sz w:val="24"/>
          <w:szCs w:val="24"/>
        </w:rPr>
        <w:t xml:space="preserve"> </w:t>
      </w:r>
      <w:r w:rsidR="006B57F5" w:rsidRPr="006B57F5">
        <w:rPr>
          <w:rFonts w:ascii="Arial" w:hAnsi="Arial" w:cs="Arial"/>
          <w:sz w:val="24"/>
          <w:szCs w:val="24"/>
        </w:rPr>
        <w:t>This is repeated i</w:t>
      </w:r>
      <w:r w:rsidR="0049328C">
        <w:rPr>
          <w:rFonts w:ascii="Arial" w:hAnsi="Arial" w:cs="Arial"/>
          <w:sz w:val="24"/>
          <w:szCs w:val="24"/>
        </w:rPr>
        <w:t>n the ECNI Guidelines on s</w:t>
      </w:r>
      <w:r w:rsidR="00D95279">
        <w:rPr>
          <w:rFonts w:ascii="Arial" w:hAnsi="Arial" w:cs="Arial"/>
          <w:sz w:val="24"/>
          <w:szCs w:val="24"/>
        </w:rPr>
        <w:t xml:space="preserve">ection </w:t>
      </w:r>
      <w:r w:rsidR="0049328C">
        <w:rPr>
          <w:rFonts w:ascii="Arial" w:hAnsi="Arial" w:cs="Arial"/>
          <w:sz w:val="24"/>
          <w:szCs w:val="24"/>
        </w:rPr>
        <w:t xml:space="preserve">75, </w:t>
      </w:r>
      <w:r w:rsidR="00D95279">
        <w:rPr>
          <w:rFonts w:ascii="Arial" w:hAnsi="Arial" w:cs="Arial"/>
          <w:sz w:val="24"/>
          <w:szCs w:val="24"/>
        </w:rPr>
        <w:t>which also states that ‘t</w:t>
      </w:r>
      <w:r w:rsidR="006B57F5" w:rsidRPr="006B57F5">
        <w:rPr>
          <w:rFonts w:ascii="Arial" w:hAnsi="Arial" w:cs="Arial"/>
          <w:sz w:val="24"/>
          <w:szCs w:val="24"/>
        </w:rPr>
        <w:t xml:space="preserve">his is an important commitment and failure to comply with it could lead to complaints of failure </w:t>
      </w:r>
      <w:r w:rsidR="0049328C">
        <w:rPr>
          <w:rFonts w:ascii="Arial" w:hAnsi="Arial" w:cs="Arial"/>
          <w:sz w:val="24"/>
          <w:szCs w:val="24"/>
        </w:rPr>
        <w:t>to comply with a scheme’</w:t>
      </w:r>
      <w:r w:rsidR="006B57F5" w:rsidRPr="006B57F5">
        <w:rPr>
          <w:rFonts w:ascii="Arial" w:hAnsi="Arial" w:cs="Arial"/>
          <w:sz w:val="24"/>
          <w:szCs w:val="24"/>
        </w:rPr>
        <w:t xml:space="preserve"> The ECNI practical guidance on EQIAs also makes it clear that ‘the public authority shall take into account any EQIA and consultation carried out in relation to the policy’ and states that it is ‘essential that the public authority fully co</w:t>
      </w:r>
      <w:r w:rsidR="0049328C">
        <w:rPr>
          <w:rFonts w:ascii="Arial" w:hAnsi="Arial" w:cs="Arial"/>
          <w:sz w:val="24"/>
          <w:szCs w:val="24"/>
        </w:rPr>
        <w:t xml:space="preserve">mplies with this </w:t>
      </w:r>
      <w:r w:rsidR="0049328C" w:rsidRPr="00AF063D">
        <w:rPr>
          <w:rFonts w:ascii="Arial" w:hAnsi="Arial" w:cs="Arial"/>
          <w:sz w:val="24"/>
          <w:szCs w:val="24"/>
        </w:rPr>
        <w:t>commitment.</w:t>
      </w:r>
      <w:r w:rsidR="0049328C">
        <w:rPr>
          <w:rFonts w:ascii="Arial" w:hAnsi="Arial" w:cs="Arial"/>
          <w:sz w:val="24"/>
          <w:szCs w:val="24"/>
        </w:rPr>
        <w:t>’</w:t>
      </w:r>
      <w:r w:rsidR="00AF063D">
        <w:rPr>
          <w:rStyle w:val="FootnoteReference"/>
          <w:rFonts w:ascii="Arial" w:hAnsi="Arial" w:cs="Arial"/>
          <w:sz w:val="24"/>
          <w:szCs w:val="24"/>
        </w:rPr>
        <w:footnoteReference w:id="13"/>
      </w:r>
    </w:p>
    <w:p w:rsidR="00031CB5" w:rsidRDefault="006B57F5" w:rsidP="006B57F5">
      <w:pPr>
        <w:rPr>
          <w:rFonts w:ascii="Arial" w:hAnsi="Arial" w:cs="Arial"/>
          <w:sz w:val="24"/>
          <w:szCs w:val="24"/>
        </w:rPr>
      </w:pPr>
      <w:r w:rsidRPr="006B57F5">
        <w:rPr>
          <w:rFonts w:ascii="Arial" w:hAnsi="Arial" w:cs="Arial"/>
          <w:sz w:val="24"/>
          <w:szCs w:val="24"/>
        </w:rPr>
        <w:t xml:space="preserve">The practical guidance on EQIAs </w:t>
      </w:r>
      <w:r w:rsidR="009D66AE">
        <w:rPr>
          <w:rFonts w:ascii="Arial" w:hAnsi="Arial" w:cs="Arial"/>
          <w:sz w:val="24"/>
          <w:szCs w:val="24"/>
        </w:rPr>
        <w:t>clarifies that ‘i</w:t>
      </w:r>
      <w:r w:rsidRPr="006B57F5">
        <w:rPr>
          <w:rFonts w:ascii="Arial" w:hAnsi="Arial" w:cs="Arial"/>
          <w:sz w:val="24"/>
          <w:szCs w:val="24"/>
        </w:rPr>
        <w:t>t is not sufficient merely to take equality into account; it must be accorded considerable weight. That is, the need to promote equality of opportunity must be given due regard or weight i</w:t>
      </w:r>
      <w:r w:rsidR="00031CB5">
        <w:rPr>
          <w:rFonts w:ascii="Arial" w:hAnsi="Arial" w:cs="Arial"/>
          <w:sz w:val="24"/>
          <w:szCs w:val="24"/>
        </w:rPr>
        <w:t>n accordance with Section 75.</w:t>
      </w:r>
    </w:p>
    <w:p w:rsidR="00031CB5" w:rsidRDefault="00A404CB" w:rsidP="00031CB5">
      <w:pPr>
        <w:ind w:left="720"/>
        <w:rPr>
          <w:rFonts w:ascii="Arial" w:hAnsi="Arial" w:cs="Arial"/>
          <w:sz w:val="24"/>
          <w:szCs w:val="24"/>
        </w:rPr>
      </w:pPr>
      <w:r>
        <w:rPr>
          <w:rFonts w:ascii="Arial" w:hAnsi="Arial" w:cs="Arial"/>
          <w:sz w:val="24"/>
          <w:szCs w:val="24"/>
        </w:rPr>
        <w:t>‘</w:t>
      </w:r>
      <w:r w:rsidR="006B57F5" w:rsidRPr="006B57F5">
        <w:rPr>
          <w:rFonts w:ascii="Arial" w:hAnsi="Arial" w:cs="Arial"/>
          <w:sz w:val="24"/>
          <w:szCs w:val="24"/>
        </w:rPr>
        <w:t>At this point all available information should be combined in a decision or decisions on an existing or proposed policy or policies, together with the rationale for that decision. Decision-making documentation must show how the impact of alternative policies and mitigation, and that the implications for other policies associated w</w:t>
      </w:r>
      <w:r w:rsidR="00002F0A">
        <w:rPr>
          <w:rFonts w:ascii="Arial" w:hAnsi="Arial" w:cs="Arial"/>
          <w:sz w:val="24"/>
          <w:szCs w:val="24"/>
        </w:rPr>
        <w:t>ith the EQIA were considered.’</w:t>
      </w:r>
      <w:r>
        <w:rPr>
          <w:rStyle w:val="FootnoteReference"/>
          <w:rFonts w:ascii="Arial" w:hAnsi="Arial" w:cs="Arial"/>
          <w:sz w:val="24"/>
          <w:szCs w:val="24"/>
        </w:rPr>
        <w:footnoteReference w:id="14"/>
      </w:r>
      <w:r w:rsidR="006B57F5" w:rsidRPr="006B57F5">
        <w:rPr>
          <w:rFonts w:ascii="Arial" w:hAnsi="Arial" w:cs="Arial"/>
          <w:sz w:val="24"/>
          <w:szCs w:val="24"/>
        </w:rPr>
        <w:t xml:space="preserve"> </w:t>
      </w:r>
    </w:p>
    <w:p w:rsidR="006B57F5" w:rsidRPr="001974FC" w:rsidRDefault="006B57F5" w:rsidP="006B57F5">
      <w:pPr>
        <w:rPr>
          <w:rFonts w:ascii="Arial" w:hAnsi="Arial" w:cs="Arial"/>
          <w:b/>
          <w:sz w:val="24"/>
          <w:szCs w:val="24"/>
        </w:rPr>
      </w:pPr>
      <w:r w:rsidRPr="006B57F5">
        <w:rPr>
          <w:rFonts w:ascii="Arial" w:hAnsi="Arial" w:cs="Arial"/>
          <w:sz w:val="24"/>
          <w:szCs w:val="24"/>
        </w:rPr>
        <w:t xml:space="preserve">These requirements are echoed in the many judgments that require the equality duty to be carried out ‘with vigour and an open mind’ in order for ‘due regard’ to be </w:t>
      </w:r>
      <w:r w:rsidR="00031CB5">
        <w:rPr>
          <w:rFonts w:ascii="Arial" w:hAnsi="Arial" w:cs="Arial"/>
          <w:sz w:val="24"/>
          <w:szCs w:val="24"/>
        </w:rPr>
        <w:t xml:space="preserve">satisfied. </w:t>
      </w:r>
      <w:r w:rsidRPr="006B57F5">
        <w:rPr>
          <w:rFonts w:ascii="Arial" w:hAnsi="Arial" w:cs="Arial"/>
          <w:sz w:val="24"/>
          <w:szCs w:val="24"/>
        </w:rPr>
        <w:t>Ther</w:t>
      </w:r>
      <w:r w:rsidR="009D66AE">
        <w:rPr>
          <w:rFonts w:ascii="Arial" w:hAnsi="Arial" w:cs="Arial"/>
          <w:sz w:val="24"/>
          <w:szCs w:val="24"/>
        </w:rPr>
        <w:t xml:space="preserve">efore, in order to comply with section </w:t>
      </w:r>
      <w:r w:rsidRPr="006B57F5">
        <w:rPr>
          <w:rFonts w:ascii="Arial" w:hAnsi="Arial" w:cs="Arial"/>
          <w:sz w:val="24"/>
          <w:szCs w:val="24"/>
        </w:rPr>
        <w:t xml:space="preserve">75 </w:t>
      </w:r>
      <w:r w:rsidR="009D66AE">
        <w:rPr>
          <w:rFonts w:ascii="Arial" w:hAnsi="Arial" w:cs="Arial"/>
          <w:sz w:val="24"/>
          <w:szCs w:val="24"/>
        </w:rPr>
        <w:t xml:space="preserve">it is necessary for </w:t>
      </w:r>
      <w:r w:rsidR="00C91982">
        <w:rPr>
          <w:rFonts w:ascii="Arial" w:hAnsi="Arial" w:cs="Arial"/>
          <w:sz w:val="24"/>
          <w:szCs w:val="24"/>
        </w:rPr>
        <w:t xml:space="preserve">the public authority </w:t>
      </w:r>
      <w:r w:rsidR="009D66AE">
        <w:rPr>
          <w:rFonts w:ascii="Arial" w:hAnsi="Arial" w:cs="Arial"/>
          <w:sz w:val="24"/>
          <w:szCs w:val="24"/>
        </w:rPr>
        <w:t xml:space="preserve">to </w:t>
      </w:r>
      <w:r w:rsidRPr="006B57F5">
        <w:rPr>
          <w:rFonts w:ascii="Arial" w:hAnsi="Arial" w:cs="Arial"/>
          <w:sz w:val="24"/>
          <w:szCs w:val="24"/>
        </w:rPr>
        <w:t xml:space="preserve">consider </w:t>
      </w:r>
      <w:r w:rsidR="009D66AE">
        <w:rPr>
          <w:rFonts w:ascii="Arial" w:hAnsi="Arial" w:cs="Arial"/>
          <w:sz w:val="24"/>
          <w:szCs w:val="24"/>
        </w:rPr>
        <w:t xml:space="preserve">its </w:t>
      </w:r>
      <w:r w:rsidRPr="006B57F5">
        <w:rPr>
          <w:rFonts w:ascii="Arial" w:hAnsi="Arial" w:cs="Arial"/>
          <w:sz w:val="24"/>
          <w:szCs w:val="24"/>
        </w:rPr>
        <w:t xml:space="preserve">EQIA </w:t>
      </w:r>
      <w:r w:rsidR="009D66AE">
        <w:rPr>
          <w:rFonts w:ascii="Arial" w:hAnsi="Arial" w:cs="Arial"/>
          <w:sz w:val="24"/>
          <w:szCs w:val="24"/>
        </w:rPr>
        <w:t xml:space="preserve">of the draft budget at the earliest stage possible. </w:t>
      </w:r>
    </w:p>
    <w:p w:rsidR="009D66AE" w:rsidRDefault="009D66AE" w:rsidP="006B57F5">
      <w:pPr>
        <w:rPr>
          <w:rFonts w:ascii="Arial" w:hAnsi="Arial" w:cs="Arial"/>
          <w:b/>
          <w:sz w:val="24"/>
          <w:szCs w:val="24"/>
        </w:rPr>
      </w:pPr>
    </w:p>
    <w:p w:rsidR="008A7B1F" w:rsidRDefault="008A7B1F" w:rsidP="006B57F5">
      <w:pPr>
        <w:rPr>
          <w:rFonts w:ascii="Arial" w:hAnsi="Arial" w:cs="Arial"/>
          <w:b/>
          <w:sz w:val="24"/>
          <w:szCs w:val="24"/>
        </w:rPr>
      </w:pPr>
    </w:p>
    <w:p w:rsidR="008A7B1F" w:rsidRDefault="008A7B1F" w:rsidP="006B57F5">
      <w:pPr>
        <w:rPr>
          <w:rFonts w:ascii="Arial" w:hAnsi="Arial" w:cs="Arial"/>
          <w:b/>
          <w:sz w:val="24"/>
          <w:szCs w:val="24"/>
        </w:rPr>
      </w:pPr>
    </w:p>
    <w:p w:rsidR="008A7B1F" w:rsidRDefault="008A7B1F" w:rsidP="006B57F5">
      <w:pPr>
        <w:rPr>
          <w:rFonts w:ascii="Arial" w:hAnsi="Arial" w:cs="Arial"/>
          <w:b/>
          <w:sz w:val="24"/>
          <w:szCs w:val="24"/>
        </w:rPr>
      </w:pPr>
    </w:p>
    <w:p w:rsidR="008A7B1F" w:rsidRDefault="008A7B1F" w:rsidP="006B57F5">
      <w:pPr>
        <w:rPr>
          <w:rFonts w:ascii="Arial" w:hAnsi="Arial" w:cs="Arial"/>
          <w:b/>
          <w:sz w:val="24"/>
          <w:szCs w:val="24"/>
        </w:rPr>
      </w:pPr>
    </w:p>
    <w:p w:rsidR="008A7B1F" w:rsidRDefault="008A7B1F" w:rsidP="006B57F5">
      <w:pPr>
        <w:rPr>
          <w:rFonts w:ascii="Arial" w:hAnsi="Arial" w:cs="Arial"/>
          <w:b/>
          <w:sz w:val="24"/>
          <w:szCs w:val="24"/>
        </w:rPr>
      </w:pPr>
    </w:p>
    <w:p w:rsidR="008A7B1F" w:rsidRDefault="008A7B1F" w:rsidP="006B57F5">
      <w:pPr>
        <w:rPr>
          <w:rFonts w:ascii="Arial" w:hAnsi="Arial" w:cs="Arial"/>
          <w:b/>
          <w:sz w:val="24"/>
          <w:szCs w:val="24"/>
        </w:rPr>
      </w:pPr>
    </w:p>
    <w:p w:rsidR="00A47F24" w:rsidRDefault="00A47F24" w:rsidP="006B57F5">
      <w:pPr>
        <w:rPr>
          <w:rFonts w:ascii="Arial" w:hAnsi="Arial" w:cs="Arial"/>
          <w:b/>
          <w:sz w:val="24"/>
          <w:szCs w:val="24"/>
        </w:rPr>
      </w:pPr>
    </w:p>
    <w:p w:rsidR="00A47F24" w:rsidRDefault="00A47F24" w:rsidP="006B57F5">
      <w:pPr>
        <w:rPr>
          <w:rFonts w:ascii="Arial" w:hAnsi="Arial" w:cs="Arial"/>
          <w:b/>
          <w:sz w:val="24"/>
          <w:szCs w:val="24"/>
        </w:rPr>
      </w:pPr>
    </w:p>
    <w:p w:rsidR="00A47F24" w:rsidRDefault="00A47F24" w:rsidP="006B57F5">
      <w:pPr>
        <w:rPr>
          <w:rFonts w:ascii="Arial" w:hAnsi="Arial" w:cs="Arial"/>
          <w:b/>
          <w:sz w:val="24"/>
          <w:szCs w:val="24"/>
        </w:rPr>
      </w:pPr>
    </w:p>
    <w:p w:rsidR="00A47F24" w:rsidRDefault="00A47F24"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C47142" w:rsidRDefault="00C47142" w:rsidP="006B57F5">
      <w:pPr>
        <w:rPr>
          <w:rFonts w:ascii="Arial" w:hAnsi="Arial" w:cs="Arial"/>
          <w:b/>
          <w:sz w:val="24"/>
          <w:szCs w:val="24"/>
        </w:rPr>
      </w:pPr>
    </w:p>
    <w:p w:rsidR="006B57F5" w:rsidRPr="00F50C78" w:rsidRDefault="006B57F5" w:rsidP="006B57F5">
      <w:pPr>
        <w:rPr>
          <w:rFonts w:ascii="Arial" w:hAnsi="Arial" w:cs="Arial"/>
          <w:b/>
          <w:sz w:val="24"/>
          <w:szCs w:val="24"/>
        </w:rPr>
      </w:pPr>
      <w:r w:rsidRPr="00F50C78">
        <w:rPr>
          <w:rFonts w:ascii="Arial" w:hAnsi="Arial" w:cs="Arial"/>
          <w:b/>
          <w:sz w:val="24"/>
          <w:szCs w:val="24"/>
        </w:rPr>
        <w:t xml:space="preserve">Appendix </w:t>
      </w:r>
      <w:r w:rsidR="008A5A4E">
        <w:rPr>
          <w:rFonts w:ascii="Arial" w:hAnsi="Arial" w:cs="Arial"/>
          <w:b/>
          <w:sz w:val="24"/>
          <w:szCs w:val="24"/>
        </w:rPr>
        <w:t xml:space="preserv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List of Member Organisations of the Equality Coalition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Action Mental Health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Age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An Teasmann TSG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An Munia Tober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Artsekta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Aware Defeat Depression </w:t>
      </w:r>
    </w:p>
    <w:p w:rsidR="006B57F5" w:rsidRDefault="006B57F5" w:rsidP="006B57F5">
      <w:pPr>
        <w:rPr>
          <w:rFonts w:ascii="Arial" w:hAnsi="Arial" w:cs="Arial"/>
          <w:sz w:val="24"/>
          <w:szCs w:val="24"/>
        </w:rPr>
      </w:pPr>
      <w:r w:rsidRPr="006B57F5">
        <w:rPr>
          <w:rFonts w:ascii="Arial" w:hAnsi="Arial" w:cs="Arial"/>
          <w:sz w:val="24"/>
          <w:szCs w:val="24"/>
        </w:rPr>
        <w:t xml:space="preserve">Banardos </w:t>
      </w:r>
    </w:p>
    <w:p w:rsidR="00C47142" w:rsidRPr="006B57F5" w:rsidRDefault="00C47142" w:rsidP="006B57F5">
      <w:pPr>
        <w:rPr>
          <w:rFonts w:ascii="Arial" w:hAnsi="Arial" w:cs="Arial"/>
          <w:sz w:val="24"/>
          <w:szCs w:val="24"/>
        </w:rPr>
      </w:pPr>
      <w:r>
        <w:rPr>
          <w:rFonts w:ascii="Arial" w:hAnsi="Arial" w:cs="Arial"/>
          <w:sz w:val="24"/>
          <w:szCs w:val="24"/>
        </w:rPr>
        <w:t xml:space="preserve">Belfast Feminist Network </w:t>
      </w:r>
    </w:p>
    <w:p w:rsidR="006B57F5" w:rsidRPr="006B57F5" w:rsidRDefault="006B57F5" w:rsidP="006B57F5">
      <w:pPr>
        <w:rPr>
          <w:rFonts w:ascii="Arial" w:hAnsi="Arial" w:cs="Arial"/>
          <w:sz w:val="24"/>
          <w:szCs w:val="24"/>
        </w:rPr>
      </w:pPr>
      <w:r w:rsidRPr="006B57F5">
        <w:rPr>
          <w:rFonts w:ascii="Arial" w:hAnsi="Arial" w:cs="Arial"/>
          <w:sz w:val="24"/>
          <w:szCs w:val="24"/>
        </w:rPr>
        <w:lastRenderedPageBreak/>
        <w:t xml:space="preserve">Belfast Islamic Centre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Business and Professional Women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Committee on the Administration of Justice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Cara- Friend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Carers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Children in Crossfire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Children in Northern Ireland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Childrens Law Centre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Chinese Welfare Association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Citizens Advice Bureau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City Bridges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Coiste na nIarchimí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Community Development and Health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Confederation of Community Groups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Conference of Religious of Ireland- Northern Ireland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Community Organisations of the South Tyrone Area </w:t>
      </w:r>
    </w:p>
    <w:p w:rsidR="0049328C" w:rsidRDefault="006B57F5" w:rsidP="006B57F5">
      <w:pPr>
        <w:rPr>
          <w:rFonts w:ascii="Arial" w:hAnsi="Arial" w:cs="Arial"/>
          <w:sz w:val="24"/>
          <w:szCs w:val="24"/>
        </w:rPr>
      </w:pPr>
      <w:r w:rsidRPr="006B57F5">
        <w:rPr>
          <w:rFonts w:ascii="Arial" w:hAnsi="Arial" w:cs="Arial"/>
          <w:sz w:val="24"/>
          <w:szCs w:val="24"/>
        </w:rPr>
        <w:t xml:space="preserve">Corrymeela Community </w:t>
      </w:r>
    </w:p>
    <w:p w:rsidR="0049328C" w:rsidRDefault="006B57F5" w:rsidP="006B57F5">
      <w:pPr>
        <w:rPr>
          <w:rFonts w:ascii="Arial" w:hAnsi="Arial" w:cs="Arial"/>
          <w:sz w:val="24"/>
          <w:szCs w:val="24"/>
        </w:rPr>
      </w:pPr>
      <w:r w:rsidRPr="006B57F5">
        <w:rPr>
          <w:rFonts w:ascii="Arial" w:hAnsi="Arial" w:cs="Arial"/>
          <w:sz w:val="24"/>
          <w:szCs w:val="24"/>
        </w:rPr>
        <w:t xml:space="preserve">Craigavon Travellers Support Committee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Disability Action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Falls Community Council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Fermanagh Women's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Ginger Bread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Housing Rights Service </w:t>
      </w:r>
    </w:p>
    <w:p w:rsidR="006B57F5" w:rsidRPr="006B57F5" w:rsidRDefault="006B57F5" w:rsidP="006B57F5">
      <w:pPr>
        <w:rPr>
          <w:rFonts w:ascii="Arial" w:hAnsi="Arial" w:cs="Arial"/>
          <w:sz w:val="24"/>
          <w:szCs w:val="24"/>
        </w:rPr>
      </w:pPr>
      <w:r w:rsidRPr="006B57F5">
        <w:rPr>
          <w:rFonts w:ascii="Arial" w:hAnsi="Arial" w:cs="Arial"/>
          <w:sz w:val="24"/>
          <w:szCs w:val="24"/>
        </w:rPr>
        <w:lastRenderedPageBreak/>
        <w:t xml:space="preserve">Human Rights Consortium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Include Youth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Inclusive Mobility and Transport Advisory Committee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Irish Congress of Trade Unions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Law Centre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HERe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Local Initiatives for Needy Communities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Mencap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Mindwise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National Children’s Bureau </w:t>
      </w:r>
    </w:p>
    <w:p w:rsidR="006B57F5" w:rsidRDefault="006B57F5" w:rsidP="006B57F5">
      <w:pPr>
        <w:rPr>
          <w:rFonts w:ascii="Arial" w:hAnsi="Arial" w:cs="Arial"/>
          <w:sz w:val="24"/>
          <w:szCs w:val="24"/>
        </w:rPr>
      </w:pPr>
      <w:r w:rsidRPr="006B57F5">
        <w:rPr>
          <w:rFonts w:ascii="Arial" w:hAnsi="Arial" w:cs="Arial"/>
          <w:sz w:val="24"/>
          <w:szCs w:val="24"/>
        </w:rPr>
        <w:t xml:space="preserve">National Energy Action </w:t>
      </w:r>
    </w:p>
    <w:p w:rsidR="00D95279" w:rsidRPr="006B57F5" w:rsidRDefault="00D95279" w:rsidP="006B57F5">
      <w:pPr>
        <w:rPr>
          <w:rFonts w:ascii="Arial" w:hAnsi="Arial" w:cs="Arial"/>
          <w:sz w:val="24"/>
          <w:szCs w:val="24"/>
        </w:rPr>
      </w:pPr>
      <w:r>
        <w:rPr>
          <w:rFonts w:ascii="Arial" w:hAnsi="Arial" w:cs="Arial"/>
          <w:sz w:val="24"/>
          <w:szCs w:val="24"/>
        </w:rPr>
        <w:t xml:space="preserve">NEET Strategy Forum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Association for Mental Health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 West Community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Anti Poverty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Association for the Care and Resettlement of Offenders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Council for Ethnic Minorities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Community for Refugees and Asylum Seekers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Community Voluntary Association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Hospice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Gay Rights Association </w:t>
      </w:r>
    </w:p>
    <w:p w:rsidR="0049328C" w:rsidRDefault="006B57F5" w:rsidP="006B57F5">
      <w:pPr>
        <w:rPr>
          <w:rFonts w:ascii="Arial" w:hAnsi="Arial" w:cs="Arial"/>
          <w:sz w:val="24"/>
          <w:szCs w:val="24"/>
        </w:rPr>
      </w:pPr>
      <w:r w:rsidRPr="006B57F5">
        <w:rPr>
          <w:rFonts w:ascii="Arial" w:hAnsi="Arial" w:cs="Arial"/>
          <w:sz w:val="24"/>
          <w:szCs w:val="24"/>
        </w:rPr>
        <w:t xml:space="preserve">Northern Ireland Public Service Alliance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Northern Ireland Rural Women's Network </w:t>
      </w:r>
    </w:p>
    <w:p w:rsidR="006B57F5" w:rsidRPr="006B57F5" w:rsidRDefault="006B57F5" w:rsidP="006B57F5">
      <w:pPr>
        <w:rPr>
          <w:rFonts w:ascii="Arial" w:hAnsi="Arial" w:cs="Arial"/>
          <w:sz w:val="24"/>
          <w:szCs w:val="24"/>
        </w:rPr>
      </w:pPr>
      <w:r w:rsidRPr="006B57F5">
        <w:rPr>
          <w:rFonts w:ascii="Arial" w:hAnsi="Arial" w:cs="Arial"/>
          <w:sz w:val="24"/>
          <w:szCs w:val="24"/>
        </w:rPr>
        <w:lastRenderedPageBreak/>
        <w:t xml:space="preserve">Northern Ireland Women's European Platform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NSPCC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NUS-USI Students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Omagh Women's Area Network </w:t>
      </w:r>
    </w:p>
    <w:p w:rsidR="00F654AA" w:rsidRDefault="00F654AA" w:rsidP="006B57F5">
      <w:pPr>
        <w:rPr>
          <w:rFonts w:ascii="Arial" w:hAnsi="Arial" w:cs="Arial"/>
          <w:sz w:val="24"/>
          <w:szCs w:val="24"/>
        </w:rPr>
      </w:pPr>
      <w:r>
        <w:rPr>
          <w:rFonts w:ascii="Arial" w:hAnsi="Arial" w:cs="Arial"/>
          <w:sz w:val="24"/>
          <w:szCs w:val="24"/>
        </w:rPr>
        <w:t xml:space="preserve">Opportunity Youth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Parents Advice Centre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Participation and the Practice of Rights Project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Pobal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Princes Trust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Pat Finucane Centre </w:t>
      </w:r>
    </w:p>
    <w:p w:rsidR="006B57F5" w:rsidRDefault="006B57F5" w:rsidP="006B57F5">
      <w:pPr>
        <w:rPr>
          <w:rFonts w:ascii="Arial" w:hAnsi="Arial" w:cs="Arial"/>
          <w:sz w:val="24"/>
          <w:szCs w:val="24"/>
        </w:rPr>
      </w:pPr>
      <w:r w:rsidRPr="006B57F5">
        <w:rPr>
          <w:rFonts w:ascii="Arial" w:hAnsi="Arial" w:cs="Arial"/>
          <w:sz w:val="24"/>
          <w:szCs w:val="24"/>
        </w:rPr>
        <w:t xml:space="preserve">Public Interest Litigation Support Project </w:t>
      </w:r>
    </w:p>
    <w:p w:rsidR="00F654AA" w:rsidRPr="006B57F5" w:rsidRDefault="00F654AA" w:rsidP="006B57F5">
      <w:pPr>
        <w:rPr>
          <w:rFonts w:ascii="Arial" w:hAnsi="Arial" w:cs="Arial"/>
          <w:sz w:val="24"/>
          <w:szCs w:val="24"/>
        </w:rPr>
      </w:pPr>
      <w:r>
        <w:rPr>
          <w:rFonts w:ascii="Arial" w:hAnsi="Arial" w:cs="Arial"/>
          <w:sz w:val="24"/>
          <w:szCs w:val="24"/>
        </w:rPr>
        <w:t xml:space="preserve">Queens University Human Rights Centre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Queer Space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Rainbow Project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Relate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Rural Community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Sai-Pak Chinese Community Association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Save the Children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Social Economy Agency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South Tyrone Empowerment Programme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The National Deaf Children's Society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Training for Women Network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UNISON </w:t>
      </w:r>
    </w:p>
    <w:p w:rsidR="006B57F5" w:rsidRPr="006B57F5" w:rsidRDefault="006B57F5" w:rsidP="006B57F5">
      <w:pPr>
        <w:rPr>
          <w:rFonts w:ascii="Arial" w:hAnsi="Arial" w:cs="Arial"/>
          <w:sz w:val="24"/>
          <w:szCs w:val="24"/>
        </w:rPr>
      </w:pPr>
      <w:r w:rsidRPr="006B57F5">
        <w:rPr>
          <w:rFonts w:ascii="Arial" w:hAnsi="Arial" w:cs="Arial"/>
          <w:sz w:val="24"/>
          <w:szCs w:val="24"/>
        </w:rPr>
        <w:lastRenderedPageBreak/>
        <w:t xml:space="preserve">Upper Springfield Development Trust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Victim Support NI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Women into Politics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Women's Aid Federation Northern Ireland </w:t>
      </w:r>
    </w:p>
    <w:p w:rsidR="006B57F5" w:rsidRPr="006B57F5" w:rsidRDefault="006B57F5" w:rsidP="006B57F5">
      <w:pPr>
        <w:rPr>
          <w:rFonts w:ascii="Arial" w:hAnsi="Arial" w:cs="Arial"/>
          <w:sz w:val="24"/>
          <w:szCs w:val="24"/>
        </w:rPr>
      </w:pPr>
      <w:r w:rsidRPr="006B57F5">
        <w:rPr>
          <w:rFonts w:ascii="Arial" w:hAnsi="Arial" w:cs="Arial"/>
          <w:sz w:val="24"/>
          <w:szCs w:val="24"/>
        </w:rPr>
        <w:t xml:space="preserve">Women's Resource and Development Agency </w:t>
      </w:r>
    </w:p>
    <w:p w:rsidR="006B57F5" w:rsidRDefault="006B57F5" w:rsidP="006B57F5">
      <w:pPr>
        <w:rPr>
          <w:rFonts w:ascii="Arial" w:hAnsi="Arial" w:cs="Arial"/>
          <w:sz w:val="24"/>
          <w:szCs w:val="24"/>
        </w:rPr>
      </w:pPr>
      <w:r w:rsidRPr="006B57F5">
        <w:rPr>
          <w:rFonts w:ascii="Arial" w:hAnsi="Arial" w:cs="Arial"/>
          <w:sz w:val="24"/>
          <w:szCs w:val="24"/>
        </w:rPr>
        <w:t xml:space="preserve">Women's Support Network </w:t>
      </w:r>
    </w:p>
    <w:p w:rsidR="00F654AA" w:rsidRPr="006B57F5" w:rsidRDefault="00F654AA" w:rsidP="006B57F5">
      <w:pPr>
        <w:rPr>
          <w:rFonts w:ascii="Arial" w:hAnsi="Arial" w:cs="Arial"/>
          <w:sz w:val="24"/>
          <w:szCs w:val="24"/>
        </w:rPr>
      </w:pPr>
      <w:r>
        <w:rPr>
          <w:rFonts w:ascii="Arial" w:hAnsi="Arial" w:cs="Arial"/>
          <w:sz w:val="24"/>
          <w:szCs w:val="24"/>
        </w:rPr>
        <w:t xml:space="preserve">Women’s Tec </w:t>
      </w:r>
    </w:p>
    <w:p w:rsidR="00F654AA" w:rsidRPr="006B57F5" w:rsidRDefault="006B57F5" w:rsidP="006B57F5">
      <w:pPr>
        <w:rPr>
          <w:rFonts w:ascii="Arial" w:hAnsi="Arial" w:cs="Arial"/>
          <w:sz w:val="24"/>
          <w:szCs w:val="24"/>
        </w:rPr>
      </w:pPr>
      <w:r w:rsidRPr="006B57F5">
        <w:rPr>
          <w:rFonts w:ascii="Arial" w:hAnsi="Arial" w:cs="Arial"/>
          <w:sz w:val="24"/>
          <w:szCs w:val="24"/>
        </w:rPr>
        <w:t xml:space="preserve">Youth Net </w:t>
      </w:r>
      <w:r w:rsidR="00F654AA">
        <w:rPr>
          <w:rFonts w:ascii="Arial" w:hAnsi="Arial" w:cs="Arial"/>
          <w:sz w:val="24"/>
          <w:szCs w:val="24"/>
        </w:rPr>
        <w:t xml:space="preserve"> </w:t>
      </w:r>
    </w:p>
    <w:p w:rsidR="002E100D" w:rsidRPr="006B57F5" w:rsidRDefault="006B57F5" w:rsidP="006B57F5">
      <w:pPr>
        <w:rPr>
          <w:rFonts w:ascii="Arial" w:hAnsi="Arial" w:cs="Arial"/>
          <w:sz w:val="24"/>
          <w:szCs w:val="24"/>
        </w:rPr>
      </w:pPr>
      <w:r w:rsidRPr="006B57F5">
        <w:rPr>
          <w:rFonts w:ascii="Arial" w:hAnsi="Arial" w:cs="Arial"/>
          <w:sz w:val="24"/>
          <w:szCs w:val="24"/>
        </w:rPr>
        <w:t xml:space="preserve"> 174 Trust </w:t>
      </w:r>
    </w:p>
    <w:sectPr w:rsidR="002E100D" w:rsidRPr="006B57F5" w:rsidSect="002E100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ED" w:rsidRDefault="007066ED" w:rsidP="006B57F5">
      <w:pPr>
        <w:spacing w:after="0" w:line="240" w:lineRule="auto"/>
      </w:pPr>
      <w:r>
        <w:separator/>
      </w:r>
    </w:p>
  </w:endnote>
  <w:endnote w:type="continuationSeparator" w:id="0">
    <w:p w:rsidR="007066ED" w:rsidRDefault="007066ED" w:rsidP="006B5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ED" w:rsidRDefault="00DF6E66" w:rsidP="00751B75">
    <w:pPr>
      <w:pStyle w:val="ListParagraph"/>
      <w:rPr>
        <w:rFonts w:ascii="Arial" w:hAnsi="Arial" w:cs="Arial"/>
      </w:rPr>
    </w:pPr>
    <w:r>
      <w:rPr>
        <w:rFonts w:ascii="Arial" w:hAnsi="Arial" w:cs="Arial"/>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231.75pt;margin-top:-9.45pt;width:244.5pt;height:98.3pt;z-index:251658240;mso-width-relative:margin;mso-height-relative:margin" stroked="f">
          <v:textbox style="mso-next-textbox:#_x0000_s2049">
            <w:txbxContent>
              <w:p w:rsidR="007066ED" w:rsidRDefault="007066ED" w:rsidP="00751B75">
                <w:pPr>
                  <w:pStyle w:val="ListParagraph"/>
                </w:pPr>
              </w:p>
              <w:p w:rsidR="007066ED" w:rsidRPr="004534FE" w:rsidRDefault="007066ED" w:rsidP="00751B75">
                <w:pPr>
                  <w:pStyle w:val="ListParagraph"/>
                  <w:rPr>
                    <w:rFonts w:ascii="Arial" w:hAnsi="Arial" w:cs="Arial"/>
                  </w:rPr>
                </w:pPr>
                <w:r w:rsidRPr="004534FE">
                  <w:rPr>
                    <w:rFonts w:ascii="Arial" w:hAnsi="Arial" w:cs="Arial"/>
                  </w:rPr>
                  <w:t>T– 028 9031 6000</w:t>
                </w:r>
              </w:p>
              <w:p w:rsidR="007066ED" w:rsidRPr="004534FE" w:rsidRDefault="007066ED" w:rsidP="00751B75">
                <w:pPr>
                  <w:pStyle w:val="ListParagraph"/>
                  <w:rPr>
                    <w:rFonts w:ascii="Arial" w:hAnsi="Arial" w:cs="Arial"/>
                  </w:rPr>
                </w:pPr>
                <w:r w:rsidRPr="004534FE">
                  <w:rPr>
                    <w:rFonts w:ascii="Arial" w:hAnsi="Arial" w:cs="Arial"/>
                  </w:rPr>
                  <w:t>F– 028 9031 4583</w:t>
                </w:r>
              </w:p>
              <w:p w:rsidR="007066ED" w:rsidRPr="004534FE" w:rsidRDefault="007066ED" w:rsidP="00751B75">
                <w:pPr>
                  <w:pStyle w:val="ListParagraph"/>
                  <w:rPr>
                    <w:rFonts w:ascii="Arial" w:hAnsi="Arial" w:cs="Arial"/>
                  </w:rPr>
                </w:pPr>
                <w:r w:rsidRPr="004534FE">
                  <w:rPr>
                    <w:rFonts w:ascii="Arial" w:hAnsi="Arial" w:cs="Arial"/>
                  </w:rPr>
                  <w:t xml:space="preserve">E – </w:t>
                </w:r>
                <w:hyperlink r:id="rId1" w:history="1">
                  <w:r w:rsidRPr="004534FE">
                    <w:rPr>
                      <w:rStyle w:val="Hyperlink"/>
                      <w:rFonts w:ascii="Arial" w:hAnsi="Arial" w:cs="Arial"/>
                    </w:rPr>
                    <w:t>equalitycoalition@caj.org.uk</w:t>
                  </w:r>
                </w:hyperlink>
              </w:p>
              <w:p w:rsidR="007066ED" w:rsidRPr="004534FE" w:rsidRDefault="007066ED" w:rsidP="00751B75">
                <w:pPr>
                  <w:pStyle w:val="ListParagraph"/>
                  <w:rPr>
                    <w:rFonts w:ascii="Arial" w:hAnsi="Arial" w:cs="Arial"/>
                  </w:rPr>
                </w:pPr>
                <w:r w:rsidRPr="004534FE">
                  <w:rPr>
                    <w:rFonts w:ascii="Arial" w:hAnsi="Arial" w:cs="Arial"/>
                  </w:rPr>
                  <w:t xml:space="preserve">W- </w:t>
                </w:r>
                <w:hyperlink r:id="rId2" w:history="1">
                  <w:r w:rsidRPr="004534FE">
                    <w:rPr>
                      <w:rStyle w:val="Hyperlink"/>
                      <w:rFonts w:ascii="Arial" w:hAnsi="Arial" w:cs="Arial"/>
                    </w:rPr>
                    <w:t>www.equalitycoalition.net</w:t>
                  </w:r>
                </w:hyperlink>
                <w:r w:rsidRPr="004534FE">
                  <w:rPr>
                    <w:rFonts w:ascii="Arial" w:hAnsi="Arial" w:cs="Arial"/>
                  </w:rPr>
                  <w:t xml:space="preserve"> </w:t>
                </w:r>
              </w:p>
              <w:p w:rsidR="007066ED" w:rsidRPr="004534FE" w:rsidRDefault="007066ED" w:rsidP="00751B75">
                <w:pPr>
                  <w:pStyle w:val="ListParagraph"/>
                  <w:rPr>
                    <w:rFonts w:ascii="Arial" w:hAnsi="Arial" w:cs="Arial"/>
                    <w:color w:val="4D4D4D"/>
                    <w:sz w:val="24"/>
                    <w:szCs w:val="24"/>
                  </w:rPr>
                </w:pPr>
              </w:p>
              <w:p w:rsidR="007066ED" w:rsidRPr="004043E7" w:rsidRDefault="007066ED" w:rsidP="00751B75">
                <w:pPr>
                  <w:rPr>
                    <w:szCs w:val="24"/>
                  </w:rPr>
                </w:pPr>
              </w:p>
            </w:txbxContent>
          </v:textbox>
        </v:shape>
      </w:pict>
    </w:r>
  </w:p>
  <w:p w:rsidR="007066ED" w:rsidRPr="004534FE" w:rsidRDefault="007066ED" w:rsidP="00751B75">
    <w:pPr>
      <w:pStyle w:val="ListParagraph"/>
      <w:rPr>
        <w:rFonts w:ascii="Arial" w:hAnsi="Arial" w:cs="Arial"/>
      </w:rPr>
    </w:pPr>
    <w:r w:rsidRPr="004534FE">
      <w:rPr>
        <w:rFonts w:ascii="Arial" w:hAnsi="Arial" w:cs="Arial"/>
      </w:rPr>
      <w:t xml:space="preserve">Equality Coalition </w:t>
    </w:r>
  </w:p>
  <w:p w:rsidR="007066ED" w:rsidRPr="004534FE" w:rsidRDefault="007066ED" w:rsidP="00751B75">
    <w:pPr>
      <w:pStyle w:val="ListParagraph"/>
      <w:rPr>
        <w:rFonts w:ascii="Arial" w:hAnsi="Arial" w:cs="Arial"/>
      </w:rPr>
    </w:pPr>
    <w:r w:rsidRPr="004534FE">
      <w:rPr>
        <w:rFonts w:ascii="Arial" w:hAnsi="Arial" w:cs="Arial"/>
      </w:rPr>
      <w:t>c/o CAJ 2</w:t>
    </w:r>
    <w:r w:rsidRPr="004534FE">
      <w:rPr>
        <w:rFonts w:ascii="Arial" w:hAnsi="Arial" w:cs="Arial"/>
        <w:vertAlign w:val="superscript"/>
      </w:rPr>
      <w:t>nd</w:t>
    </w:r>
    <w:r w:rsidRPr="004534FE">
      <w:rPr>
        <w:rFonts w:ascii="Arial" w:hAnsi="Arial" w:cs="Arial"/>
      </w:rPr>
      <w:t xml:space="preserve"> Floor, Sturgen Building</w:t>
    </w:r>
  </w:p>
  <w:p w:rsidR="007066ED" w:rsidRPr="004534FE" w:rsidRDefault="007066ED" w:rsidP="00751B75">
    <w:pPr>
      <w:pStyle w:val="ListParagraph"/>
      <w:rPr>
        <w:rFonts w:ascii="Arial" w:hAnsi="Arial" w:cs="Arial"/>
      </w:rPr>
    </w:pPr>
    <w:r w:rsidRPr="004534FE">
      <w:rPr>
        <w:rFonts w:ascii="Arial" w:hAnsi="Arial" w:cs="Arial"/>
      </w:rPr>
      <w:t>9-15 Queen Street, Belfast BT1 6EA</w:t>
    </w:r>
  </w:p>
  <w:p w:rsidR="007066ED" w:rsidRDefault="007066ED" w:rsidP="00751B75">
    <w:pPr>
      <w:pStyle w:val="Footer"/>
    </w:pPr>
  </w:p>
  <w:p w:rsidR="007066ED" w:rsidRDefault="00706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ED" w:rsidRDefault="007066ED" w:rsidP="006B57F5">
      <w:pPr>
        <w:spacing w:after="0" w:line="240" w:lineRule="auto"/>
      </w:pPr>
      <w:r>
        <w:separator/>
      </w:r>
    </w:p>
  </w:footnote>
  <w:footnote w:type="continuationSeparator" w:id="0">
    <w:p w:rsidR="007066ED" w:rsidRDefault="007066ED" w:rsidP="006B57F5">
      <w:pPr>
        <w:spacing w:after="0" w:line="240" w:lineRule="auto"/>
      </w:pPr>
      <w:r>
        <w:continuationSeparator/>
      </w:r>
    </w:p>
  </w:footnote>
  <w:footnote w:id="1">
    <w:p w:rsidR="007066ED" w:rsidRDefault="007066ED">
      <w:pPr>
        <w:pStyle w:val="FootnoteText"/>
      </w:pPr>
      <w:r>
        <w:rPr>
          <w:rStyle w:val="FootnoteReference"/>
        </w:rPr>
        <w:footnoteRef/>
      </w:r>
      <w:r>
        <w:t xml:space="preserve"> </w:t>
      </w:r>
      <w:r w:rsidRPr="0094278B">
        <w:rPr>
          <w:rFonts w:ascii="Arial" w:hAnsi="Arial" w:cs="Arial"/>
        </w:rPr>
        <w:t>Evidence of the many inequalities in our society is included in the</w:t>
      </w:r>
      <w:r>
        <w:rPr>
          <w:rFonts w:ascii="Arial" w:hAnsi="Arial" w:cs="Arial"/>
        </w:rPr>
        <w:t xml:space="preserve"> audits of inequalities carried </w:t>
      </w:r>
      <w:r w:rsidRPr="0094278B">
        <w:rPr>
          <w:rFonts w:ascii="Arial" w:hAnsi="Arial" w:cs="Arial"/>
        </w:rPr>
        <w:t>out by public authorities designated under s75.</w:t>
      </w:r>
    </w:p>
  </w:footnote>
  <w:footnote w:id="2">
    <w:p w:rsidR="007066ED" w:rsidRPr="00F15238" w:rsidRDefault="007066ED">
      <w:pPr>
        <w:pStyle w:val="FootnoteText"/>
        <w:rPr>
          <w:rFonts w:ascii="Arial" w:hAnsi="Arial" w:cs="Arial"/>
        </w:rPr>
      </w:pPr>
      <w:r>
        <w:rPr>
          <w:rStyle w:val="FootnoteReference"/>
        </w:rPr>
        <w:footnoteRef/>
      </w:r>
      <w:r>
        <w:t xml:space="preserve"> </w:t>
      </w:r>
      <w:r w:rsidRPr="00F15238">
        <w:rPr>
          <w:rFonts w:ascii="Arial" w:hAnsi="Arial" w:cs="Arial"/>
        </w:rPr>
        <w:t>ECNI, S75: A Guide for Public Authorities, April 2010, page 27.</w:t>
      </w:r>
    </w:p>
  </w:footnote>
  <w:footnote w:id="3">
    <w:p w:rsidR="007066ED" w:rsidRPr="00F15238" w:rsidRDefault="007066ED">
      <w:pPr>
        <w:pStyle w:val="FootnoteText"/>
        <w:rPr>
          <w:rFonts w:ascii="Arial" w:hAnsi="Arial" w:cs="Arial"/>
        </w:rPr>
      </w:pPr>
      <w:r w:rsidRPr="00F15238">
        <w:rPr>
          <w:rStyle w:val="FootnoteReference"/>
          <w:rFonts w:ascii="Arial" w:hAnsi="Arial" w:cs="Arial"/>
        </w:rPr>
        <w:footnoteRef/>
      </w:r>
      <w:r w:rsidRPr="00F15238">
        <w:rPr>
          <w:rFonts w:ascii="Arial" w:hAnsi="Arial" w:cs="Arial"/>
        </w:rPr>
        <w:t xml:space="preserve"> S71 Race Relations Act 1976, as amended; now superseded by s149 Equality Act 2010.</w:t>
      </w:r>
    </w:p>
  </w:footnote>
  <w:footnote w:id="4">
    <w:p w:rsidR="007066ED" w:rsidRPr="00F15238" w:rsidRDefault="007066ED" w:rsidP="00F15238">
      <w:pPr>
        <w:pStyle w:val="NoSpacing"/>
        <w:rPr>
          <w:rFonts w:ascii="Arial" w:hAnsi="Arial" w:cs="Arial"/>
          <w:sz w:val="20"/>
          <w:szCs w:val="20"/>
        </w:rPr>
      </w:pPr>
      <w:r w:rsidRPr="00F15238">
        <w:rPr>
          <w:rStyle w:val="FootnoteReference"/>
          <w:rFonts w:ascii="Arial" w:hAnsi="Arial" w:cs="Arial"/>
          <w:sz w:val="20"/>
          <w:szCs w:val="20"/>
        </w:rPr>
        <w:footnoteRef/>
      </w:r>
      <w:r w:rsidRPr="00F15238">
        <w:rPr>
          <w:rFonts w:ascii="Arial" w:hAnsi="Arial" w:cs="Arial"/>
          <w:sz w:val="20"/>
          <w:szCs w:val="20"/>
        </w:rPr>
        <w:t xml:space="preserve"> Baker [2008] EWCA Civ 141. </w:t>
      </w:r>
    </w:p>
  </w:footnote>
  <w:footnote w:id="5">
    <w:p w:rsidR="007066ED" w:rsidRPr="00F15238" w:rsidRDefault="007066ED" w:rsidP="00F15238">
      <w:pPr>
        <w:pStyle w:val="NoSpacing"/>
        <w:rPr>
          <w:rFonts w:ascii="Arial" w:hAnsi="Arial" w:cs="Arial"/>
          <w:sz w:val="20"/>
          <w:szCs w:val="20"/>
        </w:rPr>
      </w:pPr>
      <w:r w:rsidRPr="00F15238">
        <w:rPr>
          <w:rStyle w:val="FootnoteReference"/>
          <w:rFonts w:ascii="Arial" w:hAnsi="Arial" w:cs="Arial"/>
          <w:sz w:val="20"/>
          <w:szCs w:val="20"/>
        </w:rPr>
        <w:footnoteRef/>
      </w:r>
      <w:r w:rsidRPr="00F15238">
        <w:rPr>
          <w:rFonts w:ascii="Arial" w:hAnsi="Arial" w:cs="Arial"/>
          <w:sz w:val="20"/>
          <w:szCs w:val="20"/>
        </w:rPr>
        <w:t>‘Tasers’, JR1 Application [2011] NIQB 5</w:t>
      </w:r>
    </w:p>
  </w:footnote>
  <w:footnote w:id="6">
    <w:p w:rsidR="007066ED" w:rsidRPr="0094278B" w:rsidRDefault="007066ED">
      <w:pPr>
        <w:pStyle w:val="FootnoteText"/>
        <w:rPr>
          <w:rFonts w:ascii="Arial" w:hAnsi="Arial" w:cs="Arial"/>
        </w:rPr>
      </w:pPr>
      <w:r w:rsidRPr="00F15238">
        <w:rPr>
          <w:rStyle w:val="FootnoteReference"/>
          <w:rFonts w:ascii="Arial" w:hAnsi="Arial" w:cs="Arial"/>
        </w:rPr>
        <w:footnoteRef/>
      </w:r>
      <w:r w:rsidRPr="00F15238">
        <w:rPr>
          <w:rFonts w:ascii="Arial" w:hAnsi="Arial" w:cs="Arial"/>
        </w:rPr>
        <w:t xml:space="preserve"> Brown [2008] EWHC 3158.</w:t>
      </w:r>
    </w:p>
  </w:footnote>
  <w:footnote w:id="7">
    <w:p w:rsidR="007066ED" w:rsidRDefault="007066ED">
      <w:pPr>
        <w:pStyle w:val="FootnoteText"/>
      </w:pPr>
      <w:r w:rsidRPr="0094278B">
        <w:rPr>
          <w:rStyle w:val="FootnoteReference"/>
          <w:rFonts w:ascii="Arial" w:hAnsi="Arial" w:cs="Arial"/>
        </w:rPr>
        <w:footnoteRef/>
      </w:r>
      <w:r w:rsidRPr="0094278B">
        <w:rPr>
          <w:rFonts w:ascii="Arial" w:hAnsi="Arial" w:cs="Arial"/>
        </w:rPr>
        <w:t xml:space="preserve"> Domb [2009] EWCA Civ 941</w:t>
      </w:r>
    </w:p>
  </w:footnote>
  <w:footnote w:id="8">
    <w:p w:rsidR="007066ED" w:rsidRDefault="007066ED">
      <w:pPr>
        <w:pStyle w:val="FootnoteText"/>
      </w:pPr>
      <w:r>
        <w:rPr>
          <w:rStyle w:val="FootnoteReference"/>
        </w:rPr>
        <w:footnoteRef/>
      </w:r>
      <w:r>
        <w:t xml:space="preserve"> </w:t>
      </w:r>
      <w:r w:rsidRPr="00950922">
        <w:rPr>
          <w:rFonts w:ascii="Arial" w:hAnsi="Arial" w:cs="Arial"/>
        </w:rPr>
        <w:t>Para 4(1) Schedule 9 Northern Ireland Act 1998.</w:t>
      </w:r>
    </w:p>
  </w:footnote>
  <w:footnote w:id="9">
    <w:p w:rsidR="007066ED" w:rsidRPr="00751B75" w:rsidRDefault="007066ED">
      <w:pPr>
        <w:pStyle w:val="FootnoteText"/>
        <w:rPr>
          <w:rFonts w:ascii="Arial" w:hAnsi="Arial" w:cs="Arial"/>
        </w:rPr>
      </w:pPr>
      <w:r>
        <w:rPr>
          <w:rStyle w:val="FootnoteReference"/>
        </w:rPr>
        <w:footnoteRef/>
      </w:r>
      <w:r>
        <w:t xml:space="preserve"> </w:t>
      </w:r>
      <w:r w:rsidRPr="00950922">
        <w:rPr>
          <w:rFonts w:ascii="Arial" w:hAnsi="Arial" w:cs="Arial"/>
        </w:rPr>
        <w:t xml:space="preserve">See </w:t>
      </w:r>
      <w:hyperlink r:id="rId1" w:history="1">
        <w:r w:rsidRPr="00950922">
          <w:rPr>
            <w:rStyle w:val="Hyperlink"/>
            <w:rFonts w:ascii="Arial" w:hAnsi="Arial" w:cs="Arial"/>
          </w:rPr>
          <w:t>http://www.equalityni.org/archive/pdf/S75GuideforPublicAuthoritiesApril2010.pdf</w:t>
        </w:r>
      </w:hyperlink>
      <w:r w:rsidRPr="00950922">
        <w:rPr>
          <w:rFonts w:ascii="Arial" w:hAnsi="Arial" w:cs="Arial"/>
        </w:rPr>
        <w:t>.</w:t>
      </w:r>
    </w:p>
  </w:footnote>
  <w:footnote w:id="10">
    <w:p w:rsidR="007066ED" w:rsidRPr="00AF063D" w:rsidRDefault="007066ED" w:rsidP="00AF063D">
      <w:pPr>
        <w:pStyle w:val="NoSpacing"/>
        <w:rPr>
          <w:rFonts w:ascii="Arial" w:hAnsi="Arial" w:cs="Arial"/>
          <w:sz w:val="20"/>
          <w:szCs w:val="20"/>
        </w:rPr>
      </w:pPr>
      <w:r w:rsidRPr="00AF063D">
        <w:rPr>
          <w:rStyle w:val="FootnoteReference"/>
          <w:rFonts w:ascii="Arial" w:hAnsi="Arial" w:cs="Arial"/>
          <w:sz w:val="20"/>
          <w:szCs w:val="20"/>
        </w:rPr>
        <w:footnoteRef/>
      </w:r>
      <w:r w:rsidRPr="00AF063D">
        <w:rPr>
          <w:rFonts w:ascii="Arial" w:hAnsi="Arial" w:cs="Arial"/>
          <w:sz w:val="20"/>
          <w:szCs w:val="20"/>
        </w:rPr>
        <w:t xml:space="preserve"> See http://www.equalityni.org/archive/pdf/PracticalGuidanceEQIA0205.pdf.</w:t>
      </w:r>
    </w:p>
  </w:footnote>
  <w:footnote w:id="11">
    <w:p w:rsidR="007066ED" w:rsidRPr="00AF063D" w:rsidRDefault="007066ED" w:rsidP="00AF063D">
      <w:pPr>
        <w:pStyle w:val="NoSpacing"/>
        <w:rPr>
          <w:rFonts w:ascii="Arial" w:hAnsi="Arial" w:cs="Arial"/>
          <w:sz w:val="20"/>
          <w:szCs w:val="20"/>
        </w:rPr>
      </w:pPr>
      <w:r w:rsidRPr="00AF063D">
        <w:rPr>
          <w:rStyle w:val="FootnoteReference"/>
          <w:rFonts w:ascii="Arial" w:hAnsi="Arial" w:cs="Arial"/>
          <w:sz w:val="20"/>
          <w:szCs w:val="20"/>
        </w:rPr>
        <w:footnoteRef/>
      </w:r>
      <w:r w:rsidRPr="00AF063D">
        <w:rPr>
          <w:rFonts w:ascii="Arial" w:hAnsi="Arial" w:cs="Arial"/>
          <w:sz w:val="20"/>
          <w:szCs w:val="20"/>
        </w:rPr>
        <w:t xml:space="preserve"> See point 4.8 of the DFP equality scheme </w:t>
      </w:r>
      <w:hyperlink r:id="rId2" w:history="1">
        <w:r w:rsidRPr="00AF063D">
          <w:rPr>
            <w:rStyle w:val="Hyperlink"/>
            <w:rFonts w:ascii="Arial" w:hAnsi="Arial" w:cs="Arial"/>
            <w:sz w:val="20"/>
            <w:szCs w:val="20"/>
          </w:rPr>
          <w:t>http://www.dfpni.gov.uk/final-equality-scheme-april-2011.pdf</w:t>
        </w:r>
      </w:hyperlink>
      <w:r w:rsidRPr="00AF063D">
        <w:rPr>
          <w:rFonts w:ascii="Arial" w:hAnsi="Arial" w:cs="Arial"/>
          <w:sz w:val="20"/>
          <w:szCs w:val="20"/>
        </w:rPr>
        <w:t xml:space="preserve"> </w:t>
      </w:r>
    </w:p>
  </w:footnote>
  <w:footnote w:id="12">
    <w:p w:rsidR="007066ED" w:rsidRDefault="007066ED" w:rsidP="00AF063D">
      <w:pPr>
        <w:pStyle w:val="NoSpacing"/>
      </w:pPr>
      <w:r w:rsidRPr="00AF063D">
        <w:rPr>
          <w:rStyle w:val="FootnoteReference"/>
          <w:rFonts w:ascii="Arial" w:hAnsi="Arial" w:cs="Arial"/>
          <w:sz w:val="20"/>
          <w:szCs w:val="20"/>
        </w:rPr>
        <w:footnoteRef/>
      </w:r>
      <w:r w:rsidRPr="00AF063D">
        <w:rPr>
          <w:rFonts w:ascii="Arial" w:hAnsi="Arial" w:cs="Arial"/>
          <w:sz w:val="20"/>
          <w:szCs w:val="20"/>
        </w:rPr>
        <w:t xml:space="preserve"> ECNI practical guidance on EQIAs 2005, at page 11.</w:t>
      </w:r>
    </w:p>
  </w:footnote>
  <w:footnote w:id="13">
    <w:p w:rsidR="007066ED" w:rsidRDefault="007066ED">
      <w:pPr>
        <w:pStyle w:val="FootnoteText"/>
      </w:pPr>
      <w:r>
        <w:rPr>
          <w:rStyle w:val="FootnoteReference"/>
        </w:rPr>
        <w:footnoteRef/>
      </w:r>
      <w:r>
        <w:t xml:space="preserve"> </w:t>
      </w:r>
      <w:r w:rsidRPr="00AF063D">
        <w:rPr>
          <w:rFonts w:ascii="Arial" w:hAnsi="Arial" w:cs="Arial"/>
        </w:rPr>
        <w:t>ECNI practical guidance on EQIAs 2005</w:t>
      </w:r>
      <w:r>
        <w:rPr>
          <w:rFonts w:ascii="Arial" w:hAnsi="Arial" w:cs="Arial"/>
        </w:rPr>
        <w:t xml:space="preserve"> page 44</w:t>
      </w:r>
    </w:p>
  </w:footnote>
  <w:footnote w:id="14">
    <w:p w:rsidR="007066ED" w:rsidRDefault="007066ED">
      <w:pPr>
        <w:pStyle w:val="FootnoteText"/>
      </w:pPr>
      <w:r>
        <w:rPr>
          <w:rStyle w:val="FootnoteReference"/>
        </w:rPr>
        <w:footnoteRef/>
      </w:r>
      <w:r>
        <w:t xml:space="preserve"> </w:t>
      </w:r>
      <w:r w:rsidRPr="00AF063D">
        <w:rPr>
          <w:rFonts w:ascii="Arial" w:hAnsi="Arial" w:cs="Arial"/>
        </w:rPr>
        <w:t>ECNI practical guidance on EQIAs 2005</w:t>
      </w:r>
      <w:r>
        <w:rPr>
          <w:rFonts w:ascii="Arial" w:hAnsi="Arial" w:cs="Arial"/>
        </w:rPr>
        <w:t xml:space="preserve"> page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9C9"/>
    <w:multiLevelType w:val="hybridMultilevel"/>
    <w:tmpl w:val="81C86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10C77"/>
    <w:multiLevelType w:val="hybridMultilevel"/>
    <w:tmpl w:val="AD9A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FD44AF"/>
    <w:multiLevelType w:val="hybridMultilevel"/>
    <w:tmpl w:val="403C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43C08"/>
    <w:multiLevelType w:val="hybridMultilevel"/>
    <w:tmpl w:val="92986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3246B8"/>
    <w:multiLevelType w:val="hybridMultilevel"/>
    <w:tmpl w:val="8C701274"/>
    <w:lvl w:ilvl="0" w:tplc="6ED0C09E">
      <w:start w:val="1"/>
      <w:numFmt w:val="bullet"/>
      <w:lvlText w:val=""/>
      <w:lvlJc w:val="left"/>
      <w:pPr>
        <w:tabs>
          <w:tab w:val="num" w:pos="1360"/>
        </w:tabs>
        <w:ind w:left="1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E340628"/>
    <w:multiLevelType w:val="hybridMultilevel"/>
    <w:tmpl w:val="0A6E7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D612C4"/>
    <w:multiLevelType w:val="hybridMultilevel"/>
    <w:tmpl w:val="5F6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5B2BC3"/>
    <w:multiLevelType w:val="hybridMultilevel"/>
    <w:tmpl w:val="07EC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7B541E"/>
    <w:multiLevelType w:val="hybridMultilevel"/>
    <w:tmpl w:val="7F8CA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A06986"/>
    <w:multiLevelType w:val="hybridMultilevel"/>
    <w:tmpl w:val="12163A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A9729B"/>
    <w:multiLevelType w:val="hybridMultilevel"/>
    <w:tmpl w:val="025AB2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2"/>
  </w:num>
  <w:num w:numId="6">
    <w:abstractNumId w:val="10"/>
  </w:num>
  <w:num w:numId="7">
    <w:abstractNumId w:val="6"/>
  </w:num>
  <w:num w:numId="8">
    <w:abstractNumId w:val="7"/>
  </w:num>
  <w:num w:numId="9">
    <w:abstractNumId w:val="3"/>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B57F5"/>
    <w:rsid w:val="00002F0A"/>
    <w:rsid w:val="00031CB5"/>
    <w:rsid w:val="00066B36"/>
    <w:rsid w:val="000F17BD"/>
    <w:rsid w:val="00112073"/>
    <w:rsid w:val="00174E2C"/>
    <w:rsid w:val="001974FC"/>
    <w:rsid w:val="001F7EB6"/>
    <w:rsid w:val="00212575"/>
    <w:rsid w:val="00226B31"/>
    <w:rsid w:val="00237092"/>
    <w:rsid w:val="00256AFC"/>
    <w:rsid w:val="002611CB"/>
    <w:rsid w:val="002E100D"/>
    <w:rsid w:val="00364356"/>
    <w:rsid w:val="00386AB9"/>
    <w:rsid w:val="004770C9"/>
    <w:rsid w:val="0049328C"/>
    <w:rsid w:val="004F406D"/>
    <w:rsid w:val="00515A03"/>
    <w:rsid w:val="0051798D"/>
    <w:rsid w:val="00591CFB"/>
    <w:rsid w:val="005D5104"/>
    <w:rsid w:val="00660AFE"/>
    <w:rsid w:val="0069510D"/>
    <w:rsid w:val="006B57F5"/>
    <w:rsid w:val="006C461D"/>
    <w:rsid w:val="007066ED"/>
    <w:rsid w:val="007327E0"/>
    <w:rsid w:val="00751B75"/>
    <w:rsid w:val="007B3458"/>
    <w:rsid w:val="007D3BA3"/>
    <w:rsid w:val="007F0538"/>
    <w:rsid w:val="0084559A"/>
    <w:rsid w:val="00851B68"/>
    <w:rsid w:val="008A5A4E"/>
    <w:rsid w:val="008A7B1F"/>
    <w:rsid w:val="008D48A3"/>
    <w:rsid w:val="0094278B"/>
    <w:rsid w:val="00950922"/>
    <w:rsid w:val="0097145F"/>
    <w:rsid w:val="0097606D"/>
    <w:rsid w:val="00986CEF"/>
    <w:rsid w:val="009D66AE"/>
    <w:rsid w:val="00A027F8"/>
    <w:rsid w:val="00A1495C"/>
    <w:rsid w:val="00A404CB"/>
    <w:rsid w:val="00A4149C"/>
    <w:rsid w:val="00A47F24"/>
    <w:rsid w:val="00A61EC4"/>
    <w:rsid w:val="00A672F0"/>
    <w:rsid w:val="00AD7B35"/>
    <w:rsid w:val="00AF063D"/>
    <w:rsid w:val="00BC0F53"/>
    <w:rsid w:val="00C47142"/>
    <w:rsid w:val="00C674AA"/>
    <w:rsid w:val="00C73767"/>
    <w:rsid w:val="00C91982"/>
    <w:rsid w:val="00C91DA1"/>
    <w:rsid w:val="00CE4E94"/>
    <w:rsid w:val="00D320BB"/>
    <w:rsid w:val="00D41582"/>
    <w:rsid w:val="00D852AD"/>
    <w:rsid w:val="00D95279"/>
    <w:rsid w:val="00DD2313"/>
    <w:rsid w:val="00DF3FA3"/>
    <w:rsid w:val="00DF6E66"/>
    <w:rsid w:val="00E859A1"/>
    <w:rsid w:val="00E948A2"/>
    <w:rsid w:val="00EE3D40"/>
    <w:rsid w:val="00F15238"/>
    <w:rsid w:val="00F50C78"/>
    <w:rsid w:val="00F63E52"/>
    <w:rsid w:val="00F654AA"/>
    <w:rsid w:val="00FD23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F5"/>
    <w:rPr>
      <w:rFonts w:ascii="Tahoma" w:hAnsi="Tahoma" w:cs="Tahoma"/>
      <w:sz w:val="16"/>
      <w:szCs w:val="16"/>
    </w:rPr>
  </w:style>
  <w:style w:type="paragraph" w:styleId="NoSpacing">
    <w:name w:val="No Spacing"/>
    <w:uiPriority w:val="1"/>
    <w:qFormat/>
    <w:rsid w:val="006B57F5"/>
    <w:pPr>
      <w:spacing w:after="0" w:line="240" w:lineRule="auto"/>
    </w:pPr>
  </w:style>
  <w:style w:type="paragraph" w:styleId="FootnoteText">
    <w:name w:val="footnote text"/>
    <w:basedOn w:val="Normal"/>
    <w:link w:val="FootnoteTextChar"/>
    <w:uiPriority w:val="99"/>
    <w:semiHidden/>
    <w:unhideWhenUsed/>
    <w:rsid w:val="006B5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7F5"/>
    <w:rPr>
      <w:sz w:val="20"/>
      <w:szCs w:val="20"/>
    </w:rPr>
  </w:style>
  <w:style w:type="character" w:styleId="FootnoteReference">
    <w:name w:val="footnote reference"/>
    <w:basedOn w:val="DefaultParagraphFont"/>
    <w:uiPriority w:val="99"/>
    <w:semiHidden/>
    <w:unhideWhenUsed/>
    <w:rsid w:val="006B57F5"/>
    <w:rPr>
      <w:vertAlign w:val="superscript"/>
    </w:rPr>
  </w:style>
  <w:style w:type="paragraph" w:styleId="ListParagraph">
    <w:name w:val="List Paragraph"/>
    <w:basedOn w:val="Normal"/>
    <w:uiPriority w:val="34"/>
    <w:qFormat/>
    <w:rsid w:val="0094278B"/>
    <w:pPr>
      <w:ind w:left="720"/>
      <w:contextualSpacing/>
    </w:pPr>
  </w:style>
  <w:style w:type="character" w:styleId="Hyperlink">
    <w:name w:val="Hyperlink"/>
    <w:basedOn w:val="DefaultParagraphFont"/>
    <w:uiPriority w:val="99"/>
    <w:unhideWhenUsed/>
    <w:rsid w:val="00950922"/>
    <w:rPr>
      <w:color w:val="0000FF" w:themeColor="hyperlink"/>
      <w:u w:val="single"/>
    </w:rPr>
  </w:style>
  <w:style w:type="character" w:styleId="CommentReference">
    <w:name w:val="annotation reference"/>
    <w:basedOn w:val="DefaultParagraphFont"/>
    <w:uiPriority w:val="99"/>
    <w:semiHidden/>
    <w:unhideWhenUsed/>
    <w:rsid w:val="00D95279"/>
    <w:rPr>
      <w:sz w:val="16"/>
      <w:szCs w:val="16"/>
    </w:rPr>
  </w:style>
  <w:style w:type="paragraph" w:styleId="CommentText">
    <w:name w:val="annotation text"/>
    <w:basedOn w:val="Normal"/>
    <w:link w:val="CommentTextChar"/>
    <w:uiPriority w:val="99"/>
    <w:semiHidden/>
    <w:unhideWhenUsed/>
    <w:rsid w:val="00D95279"/>
    <w:pPr>
      <w:spacing w:line="240" w:lineRule="auto"/>
    </w:pPr>
    <w:rPr>
      <w:sz w:val="20"/>
      <w:szCs w:val="20"/>
    </w:rPr>
  </w:style>
  <w:style w:type="character" w:customStyle="1" w:styleId="CommentTextChar">
    <w:name w:val="Comment Text Char"/>
    <w:basedOn w:val="DefaultParagraphFont"/>
    <w:link w:val="CommentText"/>
    <w:uiPriority w:val="99"/>
    <w:semiHidden/>
    <w:rsid w:val="00D95279"/>
    <w:rPr>
      <w:sz w:val="20"/>
      <w:szCs w:val="20"/>
    </w:rPr>
  </w:style>
  <w:style w:type="paragraph" w:styleId="CommentSubject">
    <w:name w:val="annotation subject"/>
    <w:basedOn w:val="CommentText"/>
    <w:next w:val="CommentText"/>
    <w:link w:val="CommentSubjectChar"/>
    <w:uiPriority w:val="99"/>
    <w:semiHidden/>
    <w:unhideWhenUsed/>
    <w:rsid w:val="00D95279"/>
    <w:rPr>
      <w:b/>
      <w:bCs/>
    </w:rPr>
  </w:style>
  <w:style w:type="character" w:customStyle="1" w:styleId="CommentSubjectChar">
    <w:name w:val="Comment Subject Char"/>
    <w:basedOn w:val="CommentTextChar"/>
    <w:link w:val="CommentSubject"/>
    <w:uiPriority w:val="99"/>
    <w:semiHidden/>
    <w:rsid w:val="00D95279"/>
    <w:rPr>
      <w:b/>
      <w:bCs/>
    </w:rPr>
  </w:style>
  <w:style w:type="paragraph" w:styleId="Header">
    <w:name w:val="header"/>
    <w:basedOn w:val="Normal"/>
    <w:link w:val="HeaderChar"/>
    <w:uiPriority w:val="99"/>
    <w:unhideWhenUsed/>
    <w:rsid w:val="0075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B75"/>
  </w:style>
  <w:style w:type="paragraph" w:styleId="Footer">
    <w:name w:val="footer"/>
    <w:basedOn w:val="Normal"/>
    <w:link w:val="FooterChar"/>
    <w:uiPriority w:val="99"/>
    <w:unhideWhenUsed/>
    <w:rsid w:val="0075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B75"/>
  </w:style>
  <w:style w:type="paragraph" w:customStyle="1" w:styleId="Default">
    <w:name w:val="Default"/>
    <w:rsid w:val="00EE3D40"/>
    <w:pPr>
      <w:autoSpaceDE w:val="0"/>
      <w:autoSpaceDN w:val="0"/>
      <w:adjustRightInd w:val="0"/>
      <w:spacing w:after="0" w:line="240" w:lineRule="auto"/>
    </w:pPr>
    <w:rPr>
      <w:rFonts w:ascii="Segoe UI" w:hAnsi="Segoe UI" w:cs="Segoe UI"/>
      <w:color w:val="000000"/>
      <w:sz w:val="24"/>
      <w:szCs w:val="24"/>
    </w:rPr>
  </w:style>
  <w:style w:type="paragraph" w:styleId="BodyText">
    <w:name w:val="Body Text"/>
    <w:basedOn w:val="Normal"/>
    <w:link w:val="BodyTextChar"/>
    <w:uiPriority w:val="99"/>
    <w:unhideWhenUsed/>
    <w:rsid w:val="00212575"/>
    <w:pPr>
      <w:overflowPunct w:val="0"/>
      <w:autoSpaceDE w:val="0"/>
      <w:autoSpaceDN w:val="0"/>
      <w:spacing w:after="0" w:line="240" w:lineRule="auto"/>
      <w:jc w:val="both"/>
    </w:pPr>
    <w:rPr>
      <w:rFonts w:ascii="Times New Roman" w:hAnsi="Times New Roman" w:cs="Times New Roman"/>
      <w:sz w:val="28"/>
      <w:szCs w:val="28"/>
      <w:lang w:eastAsia="en-GB"/>
    </w:rPr>
  </w:style>
  <w:style w:type="character" w:customStyle="1" w:styleId="BodyTextChar">
    <w:name w:val="Body Text Char"/>
    <w:basedOn w:val="DefaultParagraphFont"/>
    <w:link w:val="BodyText"/>
    <w:uiPriority w:val="99"/>
    <w:rsid w:val="00212575"/>
    <w:rPr>
      <w:rFonts w:ascii="Times New Roman" w:hAnsi="Times New Roman" w:cs="Times New Roman"/>
      <w:sz w:val="28"/>
      <w:szCs w:val="28"/>
      <w:lang w:eastAsia="en-GB"/>
    </w:rPr>
  </w:style>
</w:styles>
</file>

<file path=word/webSettings.xml><?xml version="1.0" encoding="utf-8"?>
<w:webSettings xmlns:r="http://schemas.openxmlformats.org/officeDocument/2006/relationships" xmlns:w="http://schemas.openxmlformats.org/wordprocessingml/2006/main">
  <w:divs>
    <w:div w:id="290983145">
      <w:bodyDiv w:val="1"/>
      <w:marLeft w:val="0"/>
      <w:marRight w:val="0"/>
      <w:marTop w:val="0"/>
      <w:marBottom w:val="0"/>
      <w:divBdr>
        <w:top w:val="none" w:sz="0" w:space="0" w:color="auto"/>
        <w:left w:val="none" w:sz="0" w:space="0" w:color="auto"/>
        <w:bottom w:val="none" w:sz="0" w:space="0" w:color="auto"/>
        <w:right w:val="none" w:sz="0" w:space="0" w:color="auto"/>
      </w:divBdr>
    </w:div>
    <w:div w:id="585304360">
      <w:bodyDiv w:val="1"/>
      <w:marLeft w:val="0"/>
      <w:marRight w:val="0"/>
      <w:marTop w:val="0"/>
      <w:marBottom w:val="0"/>
      <w:divBdr>
        <w:top w:val="none" w:sz="0" w:space="0" w:color="auto"/>
        <w:left w:val="none" w:sz="0" w:space="0" w:color="auto"/>
        <w:bottom w:val="none" w:sz="0" w:space="0" w:color="auto"/>
        <w:right w:val="none" w:sz="0" w:space="0" w:color="auto"/>
      </w:divBdr>
    </w:div>
    <w:div w:id="100443311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
    <w:div w:id="20743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qualitycoalition.net" TargetMode="External"/><Relationship Id="rId1" Type="http://schemas.openxmlformats.org/officeDocument/2006/relationships/hyperlink" Target="mailto:equalitycoalition@caj.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fpni.gov.uk/final-equality-scheme-april-2011.pdf" TargetMode="External"/><Relationship Id="rId1" Type="http://schemas.openxmlformats.org/officeDocument/2006/relationships/hyperlink" Target="http://www.equalityni.org/archive/pdf/S75GuideforPublicAuthoritiesApril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1519-738D-4100-9E30-1170920D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equalitycoalition</dc:creator>
  <cp:lastModifiedBy>equalitycoalition</cp:lastModifiedBy>
  <cp:revision>2</cp:revision>
  <dcterms:created xsi:type="dcterms:W3CDTF">2015-03-12T12:21:00Z</dcterms:created>
  <dcterms:modified xsi:type="dcterms:W3CDTF">2015-03-12T12:21:00Z</dcterms:modified>
</cp:coreProperties>
</file>